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15" w:lineRule="exact"/>
        <w:rPr>
          <w:sz w:val="24"/>
          <w:szCs w:val="24"/>
          <w:color w:val="auto"/>
        </w:rPr>
      </w:pPr>
    </w:p>
    <w:p>
      <w:pPr>
        <w:ind w:left="3800" w:right="2360" w:hanging="3765"/>
        <w:spacing w:after="0" w:line="465" w:lineRule="auto"/>
        <w:tabs>
          <w:tab w:leader="none" w:pos="37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Fiscal Quarter Ended November 24, 2019, or</w:t>
      </w:r>
    </w:p>
    <w:p>
      <w:pPr>
        <w:spacing w:after="0" w:line="89" w:lineRule="exact"/>
        <w:rPr>
          <w:sz w:val="24"/>
          <w:szCs w:val="24"/>
          <w:color w:val="auto"/>
        </w:rPr>
      </w:pPr>
    </w:p>
    <w:p>
      <w:pPr>
        <w:ind w:left="40"/>
        <w:spacing w:after="0"/>
        <w:tabs>
          <w:tab w:leader="none" w:pos="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171"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For the Transition period for _________ to 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0-27446</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LANDEC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286"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94-3025618</w:t>
      </w:r>
    </w:p>
    <w:p>
      <w:pPr>
        <w:spacing w:after="0" w:line="90" w:lineRule="exact"/>
        <w:rPr>
          <w:sz w:val="24"/>
          <w:szCs w:val="24"/>
          <w:color w:val="auto"/>
        </w:rPr>
      </w:pPr>
    </w:p>
    <w:p>
      <w:pPr>
        <w:sectPr>
          <w:pgSz w:w="11900" w:h="16838" w:orient="portrait"/>
          <w:cols w:equalWidth="0" w:num="2">
            <w:col w:w="7360" w:space="720"/>
            <w:col w:w="3340"/>
          </w:cols>
          <w:pgMar w:left="240" w:top="233"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55" w:lineRule="exact"/>
        <w:rPr>
          <w:sz w:val="24"/>
          <w:szCs w:val="24"/>
          <w:color w:val="auto"/>
        </w:rPr>
      </w:pPr>
    </w:p>
    <w:p>
      <w:pPr>
        <w:sectPr>
          <w:pgSz w:w="11900" w:h="16838" w:orient="portrait"/>
          <w:cols w:equalWidth="0" w:num="2">
            <w:col w:w="6400" w:space="720"/>
            <w:col w:w="430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5201 Great America Parkway, Suite 232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Santa Clara, California 95054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306-1650</w:t>
      </w:r>
    </w:p>
    <w:p>
      <w:pPr>
        <w:spacing w:after="0" w:line="17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5280" w:type="dxa"/>
            <w:vAlign w:val="bottom"/>
            <w:gridSpan w:val="3"/>
          </w:tcPr>
          <w:p>
            <w:pPr>
              <w:ind w:left="100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3240" w:type="dxa"/>
            <w:vAlign w:val="bottom"/>
          </w:tcPr>
          <w:p>
            <w:pPr>
              <w:spacing w:after="0"/>
              <w:rPr>
                <w:sz w:val="20"/>
                <w:szCs w:val="20"/>
                <w:color w:val="auto"/>
              </w:rPr>
            </w:pPr>
          </w:p>
        </w:tc>
      </w:tr>
      <w:tr>
        <w:trPr>
          <w:trHeight w:val="338"/>
        </w:trPr>
        <w:tc>
          <w:tcPr>
            <w:tcW w:w="138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5280" w:type="dxa"/>
            <w:vAlign w:val="bottom"/>
            <w:gridSpan w:val="3"/>
          </w:tcPr>
          <w:p>
            <w:pPr>
              <w:jc w:val="center"/>
              <w:ind w:left="910"/>
              <w:spacing w:after="0"/>
              <w:rPr>
                <w:sz w:val="20"/>
                <w:szCs w:val="20"/>
                <w:color w:val="auto"/>
              </w:rPr>
            </w:pPr>
            <w:r>
              <w:rPr>
                <w:rFonts w:ascii="Arial" w:cs="Arial" w:eastAsia="Arial" w:hAnsi="Arial"/>
                <w:sz w:val="18"/>
                <w:szCs w:val="18"/>
                <w:color w:val="auto"/>
                <w:w w:val="91"/>
              </w:rPr>
              <w:t>Trading Symbol</w:t>
            </w:r>
          </w:p>
        </w:tc>
        <w:tc>
          <w:tcPr>
            <w:tcW w:w="32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91"/>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56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LNDC</w:t>
            </w:r>
          </w:p>
        </w:tc>
        <w:tc>
          <w:tcPr>
            <w:tcW w:w="1560" w:type="dxa"/>
            <w:vAlign w:val="bottom"/>
          </w:tcPr>
          <w:p>
            <w:pPr>
              <w:spacing w:after="0"/>
              <w:rPr>
                <w:sz w:val="24"/>
                <w:szCs w:val="24"/>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The NASDAQ Global Select Market</w:t>
            </w:r>
          </w:p>
        </w:tc>
      </w:tr>
    </w:tbl>
    <w:p>
      <w:pPr>
        <w:spacing w:after="0" w:line="148"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Act during the preceding 12 months (or for such shorter period that the registrant was required to file such reports), and (2) has been subject to such filing requirements for the past 90 days. Yes</w:t>
      </w:r>
    </w:p>
    <w:p>
      <w:pPr>
        <w:ind w:left="400" w:hanging="302"/>
        <w:spacing w:after="0"/>
        <w:tabs>
          <w:tab w:leader="none" w:pos="400" w:val="left"/>
        </w:tabs>
        <w:numPr>
          <w:ilvl w:val="0"/>
          <w:numId w:val="2"/>
        </w:numPr>
        <w:rPr>
          <w:rFonts w:ascii="Arial" w:cs="Arial" w:eastAsia="Arial" w:hAnsi="Arial"/>
          <w:sz w:val="18"/>
          <w:szCs w:val="18"/>
          <w:u w:val="single" w:color="auto"/>
          <w:color w:val="auto"/>
        </w:rPr>
      </w:pPr>
      <w:r>
        <w:rPr>
          <w:rFonts w:ascii="Arial" w:cs="Arial" w:eastAsia="Arial" w:hAnsi="Arial"/>
          <w:sz w:val="18"/>
          <w:szCs w:val="18"/>
          <w:color w:val="auto"/>
        </w:rPr>
        <w:t>No ___</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1482725</wp:posOffset>
            </wp:positionH>
            <wp:positionV relativeFrom="paragraph">
              <wp:posOffset>-38100</wp:posOffset>
            </wp:positionV>
            <wp:extent cx="196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pacing w:after="0" w:line="8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26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___</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___</w:t>
      </w:r>
    </w:p>
    <w:p>
      <w:pPr>
        <w:spacing w:after="0" w:line="85" w:lineRule="exact"/>
        <w:rPr>
          <w:sz w:val="24"/>
          <w:szCs w:val="24"/>
          <w:color w:val="auto"/>
        </w:rPr>
      </w:pPr>
    </w:p>
    <w:p>
      <w:pPr>
        <w:sectPr>
          <w:pgSz w:w="11900" w:h="16838" w:orient="portrait"/>
          <w:cols w:equalWidth="0" w:num="4">
            <w:col w:w="3660" w:space="720"/>
            <w:col w:w="1240" w:space="140"/>
            <w:col w:w="1360" w:space="720"/>
            <w:col w:w="3580"/>
          </w:cols>
          <w:pgMar w:left="240" w:top="233"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 Accelerated Filer ___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___</w:t>
      </w:r>
    </w:p>
    <w:p>
      <w:pPr>
        <w:spacing w:after="0" w:line="194" w:lineRule="exact"/>
        <w:rPr>
          <w:sz w:val="24"/>
          <w:szCs w:val="24"/>
          <w:color w:val="auto"/>
        </w:rPr>
      </w:pPr>
    </w:p>
    <w:p>
      <w:pPr>
        <w:sectPr>
          <w:pgSz w:w="11900" w:h="16838" w:orient="portrait"/>
          <w:cols w:equalWidth="0" w:num="2">
            <w:col w:w="3660" w:space="720"/>
            <w:col w:w="7040"/>
          </w:cols>
          <w:pgMar w:left="240" w:top="233" w:right="239" w:bottom="1440" w:gutter="0" w:footer="0" w:header="0"/>
          <w:type w:val="continuous"/>
        </w:sect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w:t>
      </w:r>
    </w:p>
    <w:p>
      <w:pPr>
        <w:spacing w:after="0" w:line="89" w:lineRule="exact"/>
        <w:rPr>
          <w:sz w:val="24"/>
          <w:szCs w:val="24"/>
          <w:color w:val="auto"/>
        </w:rPr>
      </w:pPr>
    </w:p>
    <w:p>
      <w:pPr>
        <w:ind w:right="284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___ No X As of December 27, 2019, there were 29,162,983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5309870</wp:posOffset>
            </wp:positionH>
            <wp:positionV relativeFrom="paragraph">
              <wp:posOffset>-354330</wp:posOffset>
            </wp:positionV>
            <wp:extent cx="196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LANDEC CORPORATION</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FORM 10-Q</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For the Fiscal Quarter Ended November 24, 2019</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INDEX</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w:t>
      </w:r>
    </w:p>
    <w:p>
      <w:pPr>
        <w:spacing w:after="0" w:line="63" w:lineRule="exact"/>
        <w:rPr>
          <w:sz w:val="20"/>
          <w:szCs w:val="20"/>
          <w:color w:val="auto"/>
        </w:rPr>
      </w:pPr>
    </w:p>
    <w:p>
      <w:pPr>
        <w:ind w:left="9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Facing sheet</w:t>
        </w:r>
      </w:hyperlink>
    </w:p>
    <w:p>
      <w:pPr>
        <w:spacing w:after="0" w:line="252" w:lineRule="exact"/>
        <w:rPr>
          <w:sz w:val="20"/>
          <w:szCs w:val="20"/>
          <w:color w:val="auto"/>
        </w:rPr>
      </w:pPr>
    </w:p>
    <w:p>
      <w:pPr>
        <w:ind w:left="960"/>
        <w:spacing w:after="0"/>
        <w:tabs>
          <w:tab w:leader="none" w:pos="1098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Index</w:t>
      </w:r>
      <w:r>
        <w:rPr>
          <w:sz w:val="20"/>
          <w:szCs w:val="20"/>
          <w:color w:val="auto"/>
        </w:rPr>
        <w:tab/>
      </w:r>
      <w:hyperlink w:anchor="page2">
        <w:r>
          <w:rPr>
            <w:rFonts w:ascii="Arial" w:cs="Arial" w:eastAsia="Arial" w:hAnsi="Arial"/>
            <w:sz w:val="18"/>
            <w:szCs w:val="18"/>
            <w:u w:val="single" w:color="auto"/>
            <w:color w:val="0000EE"/>
          </w:rPr>
          <w:t>i</w:t>
        </w:r>
      </w:hyperlink>
    </w:p>
    <w:p>
      <w:pPr>
        <w:spacing w:after="0" w:line="248" w:lineRule="exact"/>
        <w:rPr>
          <w:sz w:val="20"/>
          <w:szCs w:val="20"/>
          <w:color w:val="auto"/>
        </w:rPr>
      </w:pPr>
    </w:p>
    <w:p>
      <w:pPr>
        <w:ind w:left="40"/>
        <w:spacing w:after="0"/>
        <w:tabs>
          <w:tab w:leader="none" w:pos="940" w:val="left"/>
        </w:tabs>
        <w:rPr>
          <w:rFonts w:ascii="Arial" w:cs="Arial" w:eastAsia="Arial" w:hAnsi="Arial"/>
          <w:sz w:val="16"/>
          <w:szCs w:val="16"/>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3">
        <w:r>
          <w:rPr>
            <w:rFonts w:ascii="Arial" w:cs="Arial" w:eastAsia="Arial" w:hAnsi="Arial"/>
            <w:sz w:val="16"/>
            <w:szCs w:val="16"/>
            <w:b w:val="1"/>
            <w:bCs w:val="1"/>
            <w:u w:val="single" w:color="auto"/>
            <w:color w:val="0000EE"/>
          </w:rPr>
          <w:t>Financial Information</w:t>
        </w:r>
      </w:hyperlink>
    </w:p>
    <w:p>
      <w:pPr>
        <w:spacing w:after="0" w:line="256" w:lineRule="exact"/>
        <w:rPr>
          <w:sz w:val="20"/>
          <w:szCs w:val="20"/>
          <w:color w:val="auto"/>
        </w:rPr>
      </w:pPr>
    </w:p>
    <w:p>
      <w:pPr>
        <w:ind w:left="40"/>
        <w:spacing w:after="0"/>
        <w:tabs>
          <w:tab w:leader="none" w:pos="94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Financial Statements</w:t>
        </w:r>
      </w:hyperlink>
    </w:p>
    <w:p>
      <w:pPr>
        <w:spacing w:after="0" w:line="235"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5660" w:type="dxa"/>
            <w:vAlign w:val="bottom"/>
            <w:gridSpan w:val="3"/>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a)   Consolidated Balance Sheets as of November 24, 2019 and May 26, 2019</w:t>
              </w:r>
            </w:hyperlink>
          </w:p>
        </w:tc>
        <w:tc>
          <w:tcPr>
            <w:tcW w:w="444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20" w:type="dxa"/>
            <w:vAlign w:val="bottom"/>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ind w:left="1300" w:hanging="347"/>
        <w:spacing w:after="0"/>
        <w:tabs>
          <w:tab w:leader="none" w:pos="1300" w:val="left"/>
        </w:tabs>
        <w:numPr>
          <w:ilvl w:val="0"/>
          <w:numId w:val="3"/>
        </w:numPr>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Consolidated Statements of Comprehensive Loss for the Three and Six Months Ended November 24, 2019 and November 25,</w:t>
        </w:r>
      </w:hyperlink>
    </w:p>
    <w:p>
      <w:pPr>
        <w:spacing w:after="0" w:line="35" w:lineRule="exact"/>
        <w:rPr>
          <w:sz w:val="20"/>
          <w:szCs w:val="20"/>
          <w:color w:val="auto"/>
        </w:rPr>
      </w:pPr>
    </w:p>
    <w:p>
      <w:pPr>
        <w:ind w:left="1300"/>
        <w:spacing w:after="0"/>
        <w:tabs>
          <w:tab w:leader="none" w:pos="1096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2018</w:t>
      </w:r>
      <w:r>
        <w:rPr>
          <w:sz w:val="20"/>
          <w:szCs w:val="20"/>
          <w:color w:val="auto"/>
        </w:rPr>
        <w:tab/>
      </w:r>
      <w:hyperlink w:anchor="page4">
        <w:r>
          <w:rPr>
            <w:rFonts w:ascii="Arial" w:cs="Arial" w:eastAsia="Arial" w:hAnsi="Arial"/>
            <w:sz w:val="18"/>
            <w:szCs w:val="18"/>
            <w:u w:val="single" w:color="auto"/>
            <w:color w:val="0000EE"/>
          </w:rPr>
          <w:t>2</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100" w:type="dxa"/>
            <w:vAlign w:val="bottom"/>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   Consolidated Statement of Changes in Stockholders' Equity for the Three and Six Months Ended November 24, 2019 and</w:t>
              </w:r>
            </w:hyperlink>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top w:val="single" w:sz="8" w:color="0000EE"/>
            </w:tcBorders>
            <w:gridSpan w:val="6"/>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November 25, 2018</w:t>
              </w:r>
            </w:hyperlink>
          </w:p>
        </w:tc>
        <w:tc>
          <w:tcPr>
            <w:tcW w:w="7340" w:type="dxa"/>
            <w:vAlign w:val="bottom"/>
            <w:tcBorders>
              <w:top w:val="single" w:sz="8" w:color="0000EE"/>
            </w:tcBorders>
            <w:gridSpan w:val="6"/>
          </w:tcPr>
          <w:p>
            <w:pPr>
              <w:spacing w:after="0"/>
              <w:rPr>
                <w:sz w:val="17"/>
                <w:szCs w:val="17"/>
                <w:color w:val="auto"/>
              </w:rPr>
            </w:pPr>
          </w:p>
        </w:tc>
        <w:tc>
          <w:tcPr>
            <w:tcW w:w="1060" w:type="dxa"/>
            <w:vAlign w:val="bottom"/>
            <w:gridSpan w:val="4"/>
          </w:tcPr>
          <w:p>
            <w:pPr>
              <w:jc w:val="center"/>
              <w:ind w:left="77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gridSpan w:val="1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d)  Consolidated Statements of Cash Flows for the Six Months Ended November 24, 2019 and November 25, 2018</w:t>
              </w:r>
            </w:hyperlink>
          </w:p>
        </w:tc>
        <w:tc>
          <w:tcPr>
            <w:tcW w:w="1060" w:type="dxa"/>
            <w:vAlign w:val="bottom"/>
            <w:gridSpan w:val="4"/>
          </w:tcPr>
          <w:p>
            <w:pPr>
              <w:jc w:val="center"/>
              <w:ind w:left="77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Notes to Consolidated Financial Statements</w:t>
              </w:r>
            </w:hyperlink>
          </w:p>
        </w:tc>
        <w:tc>
          <w:tcPr>
            <w:tcW w:w="1060" w:type="dxa"/>
            <w:vAlign w:val="bottom"/>
            <w:gridSpan w:val="4"/>
          </w:tcPr>
          <w:p>
            <w:pPr>
              <w:jc w:val="center"/>
              <w:ind w:left="77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0" w:type="dxa"/>
            <w:vAlign w:val="bottom"/>
          </w:tcPr>
          <w:p>
            <w:pPr>
              <w:spacing w:after="0"/>
              <w:rPr>
                <w:rFonts w:ascii="Arial" w:cs="Arial" w:eastAsia="Arial" w:hAnsi="Arial"/>
                <w:sz w:val="18"/>
                <w:szCs w:val="18"/>
                <w:color w:val="0000EE"/>
                <w:w w:val="76"/>
              </w:rPr>
            </w:pPr>
            <w:hyperlink w:anchor="page28">
              <w:r>
                <w:rPr>
                  <w:rFonts w:ascii="Arial" w:cs="Arial" w:eastAsia="Arial" w:hAnsi="Arial"/>
                  <w:sz w:val="18"/>
                  <w:szCs w:val="18"/>
                  <w:color w:val="0000EE"/>
                  <w:w w:val="76"/>
                </w:rPr>
                <w:t>Item 2.</w:t>
              </w:r>
            </w:hyperlink>
          </w:p>
        </w:tc>
        <w:tc>
          <w:tcPr>
            <w:tcW w:w="460" w:type="dxa"/>
            <w:vAlign w:val="bottom"/>
            <w:gridSpan w:val="3"/>
          </w:tcPr>
          <w:p>
            <w:pPr>
              <w:spacing w:after="0"/>
              <w:rPr>
                <w:sz w:val="24"/>
                <w:szCs w:val="24"/>
                <w:color w:val="auto"/>
              </w:rPr>
            </w:pPr>
          </w:p>
        </w:tc>
        <w:tc>
          <w:tcPr>
            <w:tcW w:w="6440" w:type="dxa"/>
            <w:vAlign w:val="bottom"/>
            <w:gridSpan w:val="1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2"/>
          </w:tcPr>
          <w:p>
            <w:pPr>
              <w:spacing w:after="0"/>
              <w:rPr>
                <w:sz w:val="24"/>
                <w:szCs w:val="24"/>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460" w:type="dxa"/>
            <w:vAlign w:val="bottom"/>
          </w:tcPr>
          <w:p>
            <w:pPr>
              <w:spacing w:after="0"/>
              <w:rPr>
                <w:rFonts w:ascii="Arial" w:cs="Arial" w:eastAsia="Arial" w:hAnsi="Arial"/>
                <w:sz w:val="18"/>
                <w:szCs w:val="18"/>
                <w:color w:val="0000EE"/>
                <w:w w:val="76"/>
              </w:rPr>
            </w:pPr>
            <w:hyperlink w:anchor="page36">
              <w:r>
                <w:rPr>
                  <w:rFonts w:ascii="Arial" w:cs="Arial" w:eastAsia="Arial" w:hAnsi="Arial"/>
                  <w:sz w:val="18"/>
                  <w:szCs w:val="18"/>
                  <w:color w:val="0000EE"/>
                  <w:w w:val="76"/>
                </w:rPr>
                <w:t>Item 3.</w:t>
              </w:r>
            </w:hyperlink>
          </w:p>
        </w:tc>
        <w:tc>
          <w:tcPr>
            <w:tcW w:w="460" w:type="dxa"/>
            <w:vAlign w:val="bottom"/>
            <w:gridSpan w:val="3"/>
          </w:tcPr>
          <w:p>
            <w:pPr>
              <w:spacing w:after="0"/>
              <w:rPr>
                <w:sz w:val="24"/>
                <w:szCs w:val="24"/>
                <w:color w:val="auto"/>
              </w:rPr>
            </w:pPr>
          </w:p>
        </w:tc>
        <w:tc>
          <w:tcPr>
            <w:tcW w:w="644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660" w:type="dxa"/>
            <w:vAlign w:val="bottom"/>
            <w:gridSpan w:val="2"/>
          </w:tcPr>
          <w:p>
            <w:pPr>
              <w:spacing w:after="0"/>
              <w:rPr>
                <w:sz w:val="24"/>
                <w:szCs w:val="24"/>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60" w:type="dxa"/>
            <w:vAlign w:val="bottom"/>
            <w:tcBorders>
              <w:left w:val="single" w:sz="8" w:color="0000EE"/>
            </w:tcBorders>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92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r>
              <w:rPr>
                <w:rFonts w:ascii="Arial" w:cs="Arial" w:eastAsia="Arial" w:hAnsi="Arial"/>
                <w:sz w:val="18"/>
                <w:szCs w:val="18"/>
                <w:color w:val="000000"/>
              </w:rPr>
              <w:t>.</w:t>
            </w:r>
          </w:p>
        </w:tc>
        <w:tc>
          <w:tcPr>
            <w:tcW w:w="910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920" w:type="dxa"/>
            <w:vAlign w:val="bottom"/>
            <w:gridSpan w:val="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9100" w:type="dxa"/>
            <w:vAlign w:val="bottom"/>
            <w:gridSpan w:val="1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Other Information</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r>
      <w:tr>
        <w:trPr>
          <w:trHeight w:val="20"/>
        </w:trPr>
        <w:tc>
          <w:tcPr>
            <w:tcW w:w="5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460" w:type="dxa"/>
            <w:vAlign w:val="bottom"/>
          </w:tcPr>
          <w:p>
            <w:pPr>
              <w:spacing w:after="0"/>
              <w:rPr>
                <w:rFonts w:ascii="Arial" w:cs="Arial" w:eastAsia="Arial" w:hAnsi="Arial"/>
                <w:sz w:val="18"/>
                <w:szCs w:val="18"/>
                <w:color w:val="0000EE"/>
                <w:w w:val="76"/>
              </w:rPr>
            </w:pPr>
            <w:hyperlink w:anchor="page37">
              <w:r>
                <w:rPr>
                  <w:rFonts w:ascii="Arial" w:cs="Arial" w:eastAsia="Arial" w:hAnsi="Arial"/>
                  <w:sz w:val="18"/>
                  <w:szCs w:val="18"/>
                  <w:color w:val="0000EE"/>
                  <w:w w:val="76"/>
                </w:rPr>
                <w:t>Item 1.</w:t>
              </w:r>
            </w:hyperlink>
          </w:p>
        </w:tc>
        <w:tc>
          <w:tcPr>
            <w:tcW w:w="1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440" w:type="dxa"/>
            <w:vAlign w:val="bottom"/>
            <w:gridSpan w:val="7"/>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Legal Proceedings</w:t>
              </w:r>
            </w:hyperlink>
          </w:p>
        </w:tc>
        <w:tc>
          <w:tcPr>
            <w:tcW w:w="7660" w:type="dxa"/>
            <w:vAlign w:val="bottom"/>
            <w:gridSpan w:val="7"/>
          </w:tcPr>
          <w:p>
            <w:pPr>
              <w:spacing w:after="0"/>
              <w:rPr>
                <w:sz w:val="24"/>
                <w:szCs w:val="24"/>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640" w:type="dxa"/>
            <w:vAlign w:val="bottom"/>
            <w:gridSpan w:val="3"/>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5"/>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8200" w:type="dxa"/>
            <w:vAlign w:val="bottom"/>
            <w:gridSpan w:val="9"/>
          </w:tcPr>
          <w:p>
            <w:pPr>
              <w:spacing w:after="0"/>
              <w:rPr>
                <w:sz w:val="24"/>
                <w:szCs w:val="24"/>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460" w:type="dxa"/>
            <w:vAlign w:val="bottom"/>
          </w:tcPr>
          <w:p>
            <w:pPr>
              <w:spacing w:after="0"/>
              <w:rPr>
                <w:rFonts w:ascii="Arial" w:cs="Arial" w:eastAsia="Arial" w:hAnsi="Arial"/>
                <w:sz w:val="18"/>
                <w:szCs w:val="18"/>
                <w:color w:val="0000EE"/>
                <w:w w:val="76"/>
              </w:rPr>
            </w:pPr>
            <w:hyperlink w:anchor="page37">
              <w:r>
                <w:rPr>
                  <w:rFonts w:ascii="Arial" w:cs="Arial" w:eastAsia="Arial" w:hAnsi="Arial"/>
                  <w:sz w:val="18"/>
                  <w:szCs w:val="18"/>
                  <w:color w:val="0000EE"/>
                  <w:w w:val="76"/>
                </w:rPr>
                <w:t>Item 2.</w:t>
              </w:r>
            </w:hyperlink>
          </w:p>
        </w:tc>
        <w:tc>
          <w:tcPr>
            <w:tcW w:w="1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460" w:type="dxa"/>
            <w:vAlign w:val="bottom"/>
          </w:tcPr>
          <w:p>
            <w:pPr>
              <w:spacing w:after="0"/>
              <w:rPr>
                <w:rFonts w:ascii="Arial" w:cs="Arial" w:eastAsia="Arial" w:hAnsi="Arial"/>
                <w:sz w:val="18"/>
                <w:szCs w:val="18"/>
                <w:color w:val="0000EE"/>
                <w:w w:val="76"/>
              </w:rPr>
            </w:pPr>
            <w:hyperlink w:anchor="page38">
              <w:r>
                <w:rPr>
                  <w:rFonts w:ascii="Arial" w:cs="Arial" w:eastAsia="Arial" w:hAnsi="Arial"/>
                  <w:sz w:val="18"/>
                  <w:szCs w:val="18"/>
                  <w:color w:val="0000EE"/>
                  <w:w w:val="76"/>
                </w:rPr>
                <w:t>Item 3.</w:t>
              </w:r>
            </w:hyperlink>
          </w:p>
        </w:tc>
        <w:tc>
          <w:tcPr>
            <w:tcW w:w="460" w:type="dxa"/>
            <w:vAlign w:val="bottom"/>
            <w:gridSpan w:val="3"/>
          </w:tcPr>
          <w:p>
            <w:pPr>
              <w:spacing w:after="0"/>
              <w:rPr>
                <w:sz w:val="24"/>
                <w:szCs w:val="24"/>
                <w:color w:val="auto"/>
              </w:rPr>
            </w:pPr>
          </w:p>
        </w:tc>
        <w:tc>
          <w:tcPr>
            <w:tcW w:w="2320" w:type="dxa"/>
            <w:vAlign w:val="bottom"/>
            <w:gridSpan w:val="9"/>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4"/>
                <w:szCs w:val="24"/>
                <w:color w:val="auto"/>
              </w:rPr>
            </w:pPr>
          </w:p>
        </w:tc>
        <w:tc>
          <w:tcPr>
            <w:tcW w:w="4760" w:type="dxa"/>
            <w:vAlign w:val="bottom"/>
            <w:gridSpan w:val="3"/>
          </w:tcPr>
          <w:p>
            <w:pPr>
              <w:spacing w:after="0"/>
              <w:rPr>
                <w:sz w:val="24"/>
                <w:szCs w:val="24"/>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460" w:type="dxa"/>
            <w:vAlign w:val="bottom"/>
          </w:tcPr>
          <w:p>
            <w:pPr>
              <w:spacing w:after="0"/>
              <w:rPr>
                <w:rFonts w:ascii="Arial" w:cs="Arial" w:eastAsia="Arial" w:hAnsi="Arial"/>
                <w:sz w:val="18"/>
                <w:szCs w:val="18"/>
                <w:color w:val="0000EE"/>
                <w:w w:val="76"/>
              </w:rPr>
            </w:pPr>
            <w:hyperlink w:anchor="page38">
              <w:r>
                <w:rPr>
                  <w:rFonts w:ascii="Arial" w:cs="Arial" w:eastAsia="Arial" w:hAnsi="Arial"/>
                  <w:sz w:val="18"/>
                  <w:szCs w:val="18"/>
                  <w:color w:val="0000EE"/>
                  <w:w w:val="76"/>
                </w:rPr>
                <w:t>Item 4.</w:t>
              </w:r>
            </w:hyperlink>
          </w:p>
        </w:tc>
        <w:tc>
          <w:tcPr>
            <w:tcW w:w="460" w:type="dxa"/>
            <w:vAlign w:val="bottom"/>
            <w:gridSpan w:val="3"/>
          </w:tcPr>
          <w:p>
            <w:pPr>
              <w:spacing w:after="0"/>
              <w:rPr>
                <w:sz w:val="24"/>
                <w:szCs w:val="24"/>
                <w:color w:val="auto"/>
              </w:rPr>
            </w:pPr>
          </w:p>
        </w:tc>
        <w:tc>
          <w:tcPr>
            <w:tcW w:w="232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6780" w:type="dxa"/>
            <w:vAlign w:val="bottom"/>
            <w:gridSpan w:val="5"/>
          </w:tcPr>
          <w:p>
            <w:pPr>
              <w:spacing w:after="0"/>
              <w:rPr>
                <w:sz w:val="24"/>
                <w:szCs w:val="24"/>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460" w:type="dxa"/>
            <w:vAlign w:val="bottom"/>
          </w:tcPr>
          <w:p>
            <w:pPr>
              <w:spacing w:after="0"/>
              <w:rPr>
                <w:rFonts w:ascii="Arial" w:cs="Arial" w:eastAsia="Arial" w:hAnsi="Arial"/>
                <w:sz w:val="18"/>
                <w:szCs w:val="18"/>
                <w:color w:val="0000EE"/>
                <w:w w:val="76"/>
              </w:rPr>
            </w:pPr>
            <w:hyperlink w:anchor="page38">
              <w:r>
                <w:rPr>
                  <w:rFonts w:ascii="Arial" w:cs="Arial" w:eastAsia="Arial" w:hAnsi="Arial"/>
                  <w:sz w:val="18"/>
                  <w:szCs w:val="18"/>
                  <w:color w:val="0000EE"/>
                  <w:w w:val="76"/>
                </w:rPr>
                <w:t>Item 5.</w:t>
              </w:r>
            </w:hyperlink>
          </w:p>
        </w:tc>
        <w:tc>
          <w:tcPr>
            <w:tcW w:w="460" w:type="dxa"/>
            <w:vAlign w:val="bottom"/>
            <w:gridSpan w:val="3"/>
          </w:tcPr>
          <w:p>
            <w:pPr>
              <w:spacing w:after="0"/>
              <w:rPr>
                <w:sz w:val="24"/>
                <w:szCs w:val="24"/>
                <w:color w:val="auto"/>
              </w:rPr>
            </w:pPr>
          </w:p>
        </w:tc>
        <w:tc>
          <w:tcPr>
            <w:tcW w:w="176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7340" w:type="dxa"/>
            <w:vAlign w:val="bottom"/>
            <w:gridSpan w:val="6"/>
          </w:tcPr>
          <w:p>
            <w:pPr>
              <w:spacing w:after="0"/>
              <w:rPr>
                <w:sz w:val="24"/>
                <w:szCs w:val="24"/>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80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460" w:type="dxa"/>
            <w:vAlign w:val="bottom"/>
          </w:tcPr>
          <w:p>
            <w:pPr>
              <w:spacing w:after="0"/>
              <w:rPr>
                <w:rFonts w:ascii="Arial" w:cs="Arial" w:eastAsia="Arial" w:hAnsi="Arial"/>
                <w:sz w:val="18"/>
                <w:szCs w:val="18"/>
                <w:color w:val="0000EE"/>
                <w:w w:val="76"/>
              </w:rPr>
            </w:pPr>
            <w:hyperlink w:anchor="page38">
              <w:r>
                <w:rPr>
                  <w:rFonts w:ascii="Arial" w:cs="Arial" w:eastAsia="Arial" w:hAnsi="Arial"/>
                  <w:sz w:val="18"/>
                  <w:szCs w:val="18"/>
                  <w:color w:val="0000EE"/>
                  <w:w w:val="76"/>
                </w:rPr>
                <w:t>Item 6.</w:t>
              </w:r>
            </w:hyperlink>
          </w:p>
        </w:tc>
        <w:tc>
          <w:tcPr>
            <w:tcW w:w="460" w:type="dxa"/>
            <w:vAlign w:val="bottom"/>
            <w:gridSpan w:val="3"/>
          </w:tcPr>
          <w:p>
            <w:pPr>
              <w:spacing w:after="0"/>
              <w:rPr>
                <w:sz w:val="24"/>
                <w:szCs w:val="24"/>
                <w:color w:val="auto"/>
              </w:rPr>
            </w:pPr>
          </w:p>
        </w:tc>
        <w:tc>
          <w:tcPr>
            <w:tcW w:w="1300" w:type="dxa"/>
            <w:vAlign w:val="bottom"/>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7800" w:type="dxa"/>
            <w:vAlign w:val="bottom"/>
            <w:gridSpan w:val="8"/>
          </w:tcPr>
          <w:p>
            <w:pPr>
              <w:spacing w:after="0"/>
              <w:rPr>
                <w:sz w:val="24"/>
                <w:szCs w:val="24"/>
                <w:color w:val="auto"/>
              </w:rPr>
            </w:pPr>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4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39"/>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060" w:type="dxa"/>
            <w:vAlign w:val="bottom"/>
            <w:gridSpan w:val="4"/>
          </w:tcPr>
          <w:p>
            <w:pPr>
              <w:jc w:val="center"/>
              <w:ind w:left="79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r>
      <w:tr>
        <w:trPr>
          <w:trHeight w:val="480"/>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60" w:type="dxa"/>
            <w:vAlign w:val="bottom"/>
            <w:gridSpan w:val="3"/>
          </w:tcPr>
          <w:p>
            <w:pPr>
              <w:ind w:left="380"/>
              <w:spacing w:after="0"/>
              <w:rPr>
                <w:sz w:val="20"/>
                <w:szCs w:val="20"/>
                <w:color w:val="auto"/>
              </w:rPr>
            </w:pPr>
            <w:r>
              <w:rPr>
                <w:rFonts w:ascii="Arial" w:cs="Arial" w:eastAsia="Arial" w:hAnsi="Arial"/>
                <w:sz w:val="18"/>
                <w:szCs w:val="18"/>
                <w:color w:val="auto"/>
              </w:rPr>
              <w:t>i</w:t>
            </w:r>
          </w:p>
        </w:tc>
        <w:tc>
          <w:tcPr>
            <w:tcW w:w="8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LANDEC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November 24, 2019</w:t>
            </w:r>
          </w:p>
        </w:tc>
        <w:tc>
          <w:tcPr>
            <w:tcW w:w="280" w:type="dxa"/>
            <w:vAlign w:val="bottom"/>
          </w:tcPr>
          <w:p>
            <w:pPr>
              <w:spacing w:after="0"/>
              <w:rPr>
                <w:sz w:val="17"/>
                <w:szCs w:val="17"/>
                <w:color w:val="auto"/>
              </w:rPr>
            </w:pPr>
          </w:p>
        </w:tc>
        <w:tc>
          <w:tcPr>
            <w:tcW w:w="1520" w:type="dxa"/>
            <w:vAlign w:val="bottom"/>
          </w:tcPr>
          <w:p>
            <w:pPr>
              <w:jc w:val="right"/>
              <w:ind w:right="379"/>
              <w:spacing w:after="0"/>
              <w:rPr>
                <w:sz w:val="20"/>
                <w:szCs w:val="20"/>
                <w:color w:val="auto"/>
              </w:rPr>
            </w:pPr>
            <w:r>
              <w:rPr>
                <w:rFonts w:ascii="Arial" w:cs="Arial" w:eastAsia="Arial" w:hAnsi="Arial"/>
                <w:sz w:val="16"/>
                <w:szCs w:val="16"/>
                <w:color w:val="auto"/>
              </w:rPr>
              <w:t>May 26, 2019</w:t>
            </w:r>
          </w:p>
        </w:tc>
      </w:tr>
      <w:tr>
        <w:trPr>
          <w:trHeight w:val="3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(unaudited)</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receivable, less allowance for doubtful accounts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69,962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69,565</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54,132</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10,061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8,264</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140,180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133,041</w:t>
            </w:r>
          </w:p>
        </w:tc>
      </w:tr>
      <w:tr>
        <w:trPr>
          <w:trHeight w:val="297"/>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non-public company,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61,100</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204,687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200,027</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77,246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76,742</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Trademarks/tradenames, net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29,928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Customer relationships, net</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14,294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15,319</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2,934</w:t>
            </w:r>
          </w:p>
        </w:tc>
      </w:tr>
      <w:tr>
        <w:trPr>
          <w:trHeight w:val="284"/>
        </w:trPr>
        <w:tc>
          <w:tcPr>
            <w:tcW w:w="76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559,997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519,091</w:t>
            </w:r>
          </w:p>
        </w:tc>
      </w:tr>
      <w:tr>
        <w:trPr>
          <w:trHeight w:val="284"/>
        </w:trPr>
        <w:tc>
          <w:tcPr>
            <w:tcW w:w="7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47,145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53,973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10,687</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10,702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10,001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499</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Line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52,000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long-term debt, net</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11,723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9,791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144,361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137,091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7"/>
        </w:trPr>
        <w:tc>
          <w:tcPr>
            <w:tcW w:w="7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107,470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87,193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taxes, net</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17,047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19,393</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1,738</w:t>
            </w:r>
          </w:p>
        </w:tc>
      </w:tr>
      <w:tr>
        <w:trPr>
          <w:trHeight w:val="217"/>
        </w:trPr>
        <w:tc>
          <w:tcPr>
            <w:tcW w:w="766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300,921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248,947</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97"/>
        </w:trPr>
        <w:tc>
          <w:tcPr>
            <w:tcW w:w="7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$0.001 par value; 50,000 shares authorized; 29,163 and 29,102 shares issued and outstanding</w:t>
            </w: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at November 24, 2019 and May 26, 2019,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161,556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160,341</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109,710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259,076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270,144</w:t>
            </w:r>
          </w:p>
        </w:tc>
      </w:tr>
      <w:tr>
        <w:trPr>
          <w:trHeight w:val="244"/>
        </w:trPr>
        <w:tc>
          <w:tcPr>
            <w:tcW w:w="766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559,997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519,091</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LANDEC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5"/>
          </w:tcPr>
          <w:p>
            <w:pPr>
              <w:ind w:left="960"/>
              <w:spacing w:after="0"/>
              <w:rPr>
                <w:sz w:val="20"/>
                <w:szCs w:val="20"/>
                <w:color w:val="auto"/>
              </w:rPr>
            </w:pPr>
            <w:r>
              <w:rPr>
                <w:rFonts w:ascii="Arial" w:cs="Arial" w:eastAsia="Arial" w:hAnsi="Arial"/>
                <w:sz w:val="16"/>
                <w:szCs w:val="16"/>
                <w:color w:val="auto"/>
              </w:rPr>
              <w:t>Three Months Ended</w:t>
            </w:r>
          </w:p>
        </w:tc>
        <w:tc>
          <w:tcPr>
            <w:tcW w:w="140" w:type="dxa"/>
            <w:vAlign w:val="bottom"/>
          </w:tcPr>
          <w:p>
            <w:pPr>
              <w:spacing w:after="0"/>
              <w:rPr>
                <w:sz w:val="17"/>
                <w:szCs w:val="17"/>
                <w:color w:val="auto"/>
              </w:rPr>
            </w:pPr>
          </w:p>
        </w:tc>
        <w:tc>
          <w:tcPr>
            <w:tcW w:w="3340" w:type="dxa"/>
            <w:vAlign w:val="bottom"/>
            <w:gridSpan w:val="4"/>
          </w:tcPr>
          <w:p>
            <w:pPr>
              <w:jc w:val="right"/>
              <w:ind w:right="1039"/>
              <w:spacing w:after="0"/>
              <w:rPr>
                <w:sz w:val="20"/>
                <w:szCs w:val="20"/>
                <w:color w:val="auto"/>
              </w:rPr>
            </w:pPr>
            <w:r>
              <w:rPr>
                <w:rFonts w:ascii="Arial" w:cs="Arial" w:eastAsia="Arial" w:hAnsi="Arial"/>
                <w:sz w:val="16"/>
                <w:szCs w:val="16"/>
                <w:color w:val="auto"/>
              </w:rPr>
              <w:t>Six Months Ended</w:t>
            </w: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color w:val="auto"/>
              </w:rPr>
              <w:t>November 24, 2019</w:t>
            </w:r>
          </w:p>
        </w:tc>
        <w:tc>
          <w:tcPr>
            <w:tcW w:w="16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color w:val="auto"/>
              </w:rPr>
              <w:t>November 25, 2018</w:t>
            </w:r>
          </w:p>
        </w:tc>
        <w:tc>
          <w:tcPr>
            <w:tcW w:w="14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color w:val="auto"/>
              </w:rPr>
              <w:t>November 24, 2019</w:t>
            </w:r>
          </w:p>
        </w:tc>
        <w:tc>
          <w:tcPr>
            <w:tcW w:w="140" w:type="dxa"/>
            <w:vAlign w:val="bottom"/>
          </w:tcPr>
          <w:p>
            <w:pPr>
              <w:spacing w:after="0"/>
              <w:rPr>
                <w:sz w:val="20"/>
                <w:szCs w:val="20"/>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w w:val="93"/>
              </w:rPr>
              <w:t>November 25, 2018</w:t>
            </w: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124,557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281,307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249,225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Cost of product sales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127,079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107,672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250,457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216,003</w:t>
            </w: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33,222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5,266</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18,728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14,400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35,623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28,203</w:t>
            </w: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33,469</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Dividend income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825</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(1,504)</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from continuing operations before tax</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Income tax benefit (expense)</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2,530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Loss from discontinued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w:t>
            </w: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applicable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(Loss) income from continuing operations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0.01</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84"/>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basic net loss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57"/>
        </w:trPr>
        <w:tc>
          <w:tcPr>
            <w:tcW w:w="4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Diluted net loss per share:</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income from 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Loss from discontinued operations</w:t>
            </w:r>
          </w:p>
        </w:tc>
        <w:tc>
          <w:tcPr>
            <w:tcW w:w="16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diluted net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used in per share computation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90"/>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29,155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27,764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29,147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27,751</w:t>
            </w:r>
          </w:p>
        </w:tc>
      </w:tr>
      <w:tr>
        <w:trPr>
          <w:trHeight w:val="237"/>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29,155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27,751</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w w:val="94"/>
              </w:rPr>
              <w:t>Net unrealized gains (losses) on interest rate swaps (net of tax</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6"/>
        </w:trPr>
        <w:tc>
          <w:tcPr>
            <w:tcW w:w="4240" w:type="dxa"/>
            <w:vAlign w:val="bottom"/>
          </w:tcPr>
          <w:p>
            <w:pPr>
              <w:ind w:left="40"/>
              <w:spacing w:after="0"/>
              <w:rPr>
                <w:sz w:val="20"/>
                <w:szCs w:val="20"/>
                <w:color w:val="auto"/>
              </w:rPr>
            </w:pPr>
            <w:r>
              <w:rPr>
                <w:rFonts w:ascii="Arial" w:cs="Arial" w:eastAsia="Arial" w:hAnsi="Arial"/>
                <w:sz w:val="16"/>
                <w:szCs w:val="16"/>
                <w:color w:val="auto"/>
              </w:rPr>
              <w:t>effect of $(39), $(23), $226 and $4)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44"/>
        </w:trPr>
        <w:tc>
          <w:tcPr>
            <w:tcW w:w="424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(6,613)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LANDEC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Three and Six Months Ended November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340" w:type="dxa"/>
            <w:vAlign w:val="bottom"/>
            <w:gridSpan w:val="5"/>
            <w:vMerge w:val="restart"/>
          </w:tcPr>
          <w:p>
            <w:pPr>
              <w:ind w:left="62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Additional</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Other</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98"/>
        </w:trPr>
        <w:tc>
          <w:tcPr>
            <w:tcW w:w="3660" w:type="dxa"/>
            <w:vAlign w:val="bottom"/>
          </w:tcPr>
          <w:p>
            <w:pPr>
              <w:spacing w:after="0"/>
              <w:rPr>
                <w:sz w:val="8"/>
                <w:szCs w:val="8"/>
                <w:color w:val="auto"/>
              </w:rPr>
            </w:pPr>
          </w:p>
        </w:tc>
        <w:tc>
          <w:tcPr>
            <w:tcW w:w="234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w w:val="92"/>
              </w:rPr>
              <w:t>Paid-in</w:t>
            </w:r>
          </w:p>
        </w:tc>
        <w:tc>
          <w:tcPr>
            <w:tcW w:w="220" w:type="dxa"/>
            <w:vAlign w:val="bottom"/>
          </w:tcPr>
          <w:p>
            <w:pPr>
              <w:spacing w:after="0"/>
              <w:rPr>
                <w:sz w:val="8"/>
                <w:szCs w:val="8"/>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8"/>
                <w:szCs w:val="8"/>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1"/>
              </w:rPr>
              <w:t>Comprehensive</w:t>
            </w:r>
          </w:p>
        </w:tc>
        <w:tc>
          <w:tcPr>
            <w:tcW w:w="140" w:type="dxa"/>
            <w:vAlign w:val="bottom"/>
          </w:tcPr>
          <w:p>
            <w:pPr>
              <w:spacing w:after="0"/>
              <w:rPr>
                <w:sz w:val="8"/>
                <w:szCs w:val="8"/>
                <w:color w:val="auto"/>
              </w:rPr>
            </w:pPr>
          </w:p>
        </w:tc>
        <w:tc>
          <w:tcPr>
            <w:tcW w:w="110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1"/>
        </w:trPr>
        <w:tc>
          <w:tcPr>
            <w:tcW w:w="3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auto"/>
              </w:rPr>
              <w:t>Amount</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Income (Loss)</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Balance at May 26, 2019</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29,102</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160,341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109,710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270,144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ASC 842 transition adjustment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Issuance of stock under stock plans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Taxes paid by Company for employee stock plans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comprehensive loss, net of tax</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August 25, 2019</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264,947</w:t>
            </w: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6"/>
                <w:szCs w:val="16"/>
                <w:color w:val="auto"/>
              </w:rPr>
              <w:t>Issuance of stock under stock plans</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Taxes paid by Company for employee stock plans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(6,740)</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comprehensive income, net of tax</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November 24, 2019</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161,556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259,076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660" w:type="dxa"/>
            <w:vAlign w:val="bottom"/>
          </w:tcPr>
          <w:p>
            <w:pPr>
              <w:spacing w:after="0"/>
              <w:rPr>
                <w:sz w:val="24"/>
                <w:szCs w:val="24"/>
                <w:color w:val="auto"/>
              </w:rPr>
            </w:pPr>
          </w:p>
        </w:tc>
        <w:tc>
          <w:tcPr>
            <w:tcW w:w="3700" w:type="dxa"/>
            <w:vAlign w:val="bottom"/>
            <w:gridSpan w:val="8"/>
          </w:tcPr>
          <w:p>
            <w:pPr>
              <w:ind w:left="440"/>
              <w:spacing w:after="0"/>
              <w:rPr>
                <w:sz w:val="20"/>
                <w:szCs w:val="20"/>
                <w:color w:val="auto"/>
              </w:rPr>
            </w:pPr>
            <w:r>
              <w:rPr>
                <w:rFonts w:ascii="Arial" w:cs="Arial" w:eastAsia="Arial" w:hAnsi="Arial"/>
                <w:sz w:val="16"/>
                <w:szCs w:val="16"/>
                <w:color w:val="auto"/>
                <w:w w:val="91"/>
              </w:rPr>
              <w:t>Three and Six Months Ended November 25, 2018</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340" w:type="dxa"/>
            <w:vAlign w:val="bottom"/>
            <w:gridSpan w:val="5"/>
            <w:vMerge w:val="restart"/>
          </w:tcPr>
          <w:p>
            <w:pPr>
              <w:ind w:left="62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Additional</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Other</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98"/>
        </w:trPr>
        <w:tc>
          <w:tcPr>
            <w:tcW w:w="3660" w:type="dxa"/>
            <w:vAlign w:val="bottom"/>
          </w:tcPr>
          <w:p>
            <w:pPr>
              <w:spacing w:after="0"/>
              <w:rPr>
                <w:sz w:val="8"/>
                <w:szCs w:val="8"/>
                <w:color w:val="auto"/>
              </w:rPr>
            </w:pPr>
          </w:p>
        </w:tc>
        <w:tc>
          <w:tcPr>
            <w:tcW w:w="234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w w:val="92"/>
              </w:rPr>
              <w:t>Paid-in</w:t>
            </w:r>
          </w:p>
        </w:tc>
        <w:tc>
          <w:tcPr>
            <w:tcW w:w="220" w:type="dxa"/>
            <w:vAlign w:val="bottom"/>
          </w:tcPr>
          <w:p>
            <w:pPr>
              <w:spacing w:after="0"/>
              <w:rPr>
                <w:sz w:val="8"/>
                <w:szCs w:val="8"/>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8"/>
                <w:szCs w:val="8"/>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1"/>
              </w:rPr>
              <w:t>Comprehensive</w:t>
            </w:r>
          </w:p>
        </w:tc>
        <w:tc>
          <w:tcPr>
            <w:tcW w:w="140" w:type="dxa"/>
            <w:vAlign w:val="bottom"/>
          </w:tcPr>
          <w:p>
            <w:pPr>
              <w:spacing w:after="0"/>
              <w:rPr>
                <w:sz w:val="8"/>
                <w:szCs w:val="8"/>
                <w:color w:val="auto"/>
              </w:rPr>
            </w:pPr>
          </w:p>
        </w:tc>
        <w:tc>
          <w:tcPr>
            <w:tcW w:w="110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1"/>
        </w:trPr>
        <w:tc>
          <w:tcPr>
            <w:tcW w:w="3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160" w:type="dxa"/>
            <w:vAlign w:val="bottom"/>
            <w:gridSpan w:val="2"/>
          </w:tcPr>
          <w:p>
            <w:pPr>
              <w:ind w:left="320"/>
              <w:spacing w:after="0"/>
              <w:rPr>
                <w:sz w:val="20"/>
                <w:szCs w:val="20"/>
                <w:color w:val="auto"/>
              </w:rPr>
            </w:pPr>
            <w:r>
              <w:rPr>
                <w:rFonts w:ascii="Arial" w:cs="Arial" w:eastAsia="Arial" w:hAnsi="Arial"/>
                <w:sz w:val="16"/>
                <w:szCs w:val="16"/>
                <w:color w:val="auto"/>
              </w:rPr>
              <w:t>Shares</w:t>
            </w:r>
          </w:p>
        </w:tc>
        <w:tc>
          <w:tcPr>
            <w:tcW w:w="2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auto"/>
              </w:rPr>
              <w:t>Amount</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Capital</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Income</w:t>
            </w:r>
          </w:p>
        </w:tc>
        <w:tc>
          <w:tcPr>
            <w:tcW w:w="14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Balance at May 27, 2018</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27,702</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142,087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109,299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252,562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stock plans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w w:val="97"/>
              </w:rPr>
              <w:t>Taxes paid by Company for employee stock plans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Balance at August 26, 2018</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27,749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142,805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109,489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253,381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stock under stock plans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w w:val="97"/>
              </w:rPr>
              <w:t>Taxes paid by Company for employee stock plans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 of tax</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Balance at November 25, 2018</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27,785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143,506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108,904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253,573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LANDEC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4"/>
          </w:tcPr>
          <w:p>
            <w:pPr>
              <w:jc w:val="right"/>
              <w:ind w:right="1179"/>
              <w:spacing w:after="0"/>
              <w:rPr>
                <w:sz w:val="20"/>
                <w:szCs w:val="20"/>
                <w:color w:val="auto"/>
              </w:rPr>
            </w:pPr>
            <w:r>
              <w:rPr>
                <w:rFonts w:ascii="Arial" w:cs="Arial" w:eastAsia="Arial" w:hAnsi="Arial"/>
                <w:sz w:val="16"/>
                <w:szCs w:val="16"/>
                <w:color w:val="auto"/>
              </w:rPr>
              <w:t>Six Months Ended</w:t>
            </w:r>
          </w:p>
        </w:tc>
      </w:tr>
      <w:tr>
        <w:trPr>
          <w:trHeight w:val="33"/>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color w:val="auto"/>
              </w:rPr>
              <w:t>November 24, 2019</w:t>
            </w:r>
          </w:p>
        </w:tc>
        <w:tc>
          <w:tcPr>
            <w:tcW w:w="180" w:type="dxa"/>
            <w:vAlign w:val="bottom"/>
          </w:tcPr>
          <w:p>
            <w:pPr>
              <w:spacing w:after="0"/>
              <w:rPr>
                <w:sz w:val="20"/>
                <w:szCs w:val="20"/>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color w:val="auto"/>
                <w:w w:val="95"/>
              </w:rPr>
              <w:t>November 25, 2018</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Consolidated net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(11,524)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Depreciation, amortization of intangibles and amortization of debt costs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6,458</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1,666</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Deferred taxes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226</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investment in non-public company,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Change in contingent consideration liability</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(gain) loss on disposal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Pacific Harvest note receivable reserve</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current assets and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975</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2,267</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(3,322)</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1,575</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4,803</w:t>
            </w:r>
          </w:p>
        </w:tc>
      </w:tr>
      <w:tr>
        <w:trPr>
          <w:trHeight w:val="277"/>
        </w:trPr>
        <w:tc>
          <w:tcPr>
            <w:tcW w:w="7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(16,029)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(18,588)</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collections of notes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sales of fixed assets</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(18,390)</w:t>
            </w:r>
          </w:p>
        </w:tc>
      </w:tr>
      <w:tr>
        <w:trPr>
          <w:trHeight w:val="277"/>
        </w:trPr>
        <w:tc>
          <w:tcPr>
            <w:tcW w:w="7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sale of common stock</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paid by Company for employee stock plans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debt</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27,500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(2,543)</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lines of credit</w:t>
            </w:r>
          </w:p>
        </w:tc>
        <w:tc>
          <w:tcPr>
            <w:tcW w:w="2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62,900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on lines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Payments for debt issuance costs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12,210</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(1,377)</w:t>
            </w: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3,216</w:t>
            </w:r>
          </w:p>
        </w:tc>
      </w:tr>
      <w:tr>
        <w:trPr>
          <w:trHeight w:val="28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1,839</w:t>
            </w:r>
          </w:p>
        </w:tc>
      </w:tr>
      <w:tr>
        <w:trPr>
          <w:trHeight w:val="271"/>
        </w:trPr>
        <w:tc>
          <w:tcPr>
            <w:tcW w:w="7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Supplemental disclosure of non-cash investing activities: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 on trade vendor credit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Pacific Harvest note receivable reserve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92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LANDEC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right="4580" w:firstLine="8"/>
        <w:spacing w:after="0" w:line="456"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Basis of Presentation, and Summary of Significant Accounting Policies Organization</w:t>
      </w:r>
    </w:p>
    <w:p>
      <w:pPr>
        <w:spacing w:after="0" w:line="1"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Landec Corporation and its subsidiaries (“Landec” or the “Company”) design, develop, manufacture, and sell differentiated products for food and biomaterials markets, and license technology applications to partners.</w:t>
      </w:r>
    </w:p>
    <w:p>
      <w:pPr>
        <w:spacing w:after="0" w:line="130" w:lineRule="exact"/>
        <w:rPr>
          <w:sz w:val="20"/>
          <w:szCs w:val="20"/>
          <w:color w:val="auto"/>
        </w:rPr>
      </w:pPr>
    </w:p>
    <w:p>
      <w:pPr>
        <w:jc w:val="both"/>
        <w:ind w:firstLine="783"/>
        <w:spacing w:after="0" w:line="205" w:lineRule="auto"/>
        <w:rPr>
          <w:sz w:val="20"/>
          <w:szCs w:val="20"/>
          <w:color w:val="auto"/>
        </w:rPr>
      </w:pPr>
      <w:r>
        <w:rPr>
          <w:rFonts w:ascii="Arial" w:cs="Arial" w:eastAsia="Arial" w:hAnsi="Arial"/>
          <w:sz w:val="18"/>
          <w:szCs w:val="18"/>
          <w:color w:val="auto"/>
        </w:rPr>
        <w:t>The Company sells specialty packaged branded Eat Smart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private label fresh-cut vegetables and whole produce to retailers, club stores, and food service operators, primarily in the United States and Canada. The Company also sells premier specialty olive oils and wine vinegars under its O Olive Oil &amp; Vinegar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O</w:t>
      </w:r>
      <w:r>
        <w:rPr>
          <w:rFonts w:ascii="Arial" w:cs="Arial" w:eastAsia="Arial" w:hAnsi="Arial"/>
          <w:sz w:val="18"/>
          <w:szCs w:val="18"/>
          <w:color w:val="auto"/>
        </w:rPr>
        <w:t>”) brand to natural food, conventional grocery and mass retail stores primarily in the United States and Canada. The majority of Yucatan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Cabo Fresh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branded guacamole and avocado products are sold in the U.S. grocery channel, but they are also sold in U.S. mass retail, Canadian grocery retail and foodservice channels.</w:t>
      </w:r>
    </w:p>
    <w:p>
      <w:pPr>
        <w:spacing w:after="0" w:line="166" w:lineRule="exact"/>
        <w:rPr>
          <w:sz w:val="20"/>
          <w:szCs w:val="20"/>
          <w:color w:val="auto"/>
        </w:rPr>
      </w:pPr>
    </w:p>
    <w:p>
      <w:pPr>
        <w:jc w:val="both"/>
        <w:ind w:firstLine="783"/>
        <w:spacing w:after="0" w:line="279" w:lineRule="auto"/>
        <w:rPr>
          <w:sz w:val="20"/>
          <w:szCs w:val="20"/>
          <w:color w:val="auto"/>
        </w:rPr>
      </w:pPr>
      <w:r>
        <w:rPr>
          <w:rFonts w:ascii="Arial" w:cs="Arial" w:eastAsia="Arial" w:hAnsi="Arial"/>
          <w:sz w:val="17"/>
          <w:szCs w:val="17"/>
          <w:color w:val="auto"/>
        </w:rPr>
        <w:t xml:space="preserve">Landec's food company, Curation Foods, Inc. (“Curation Foods”) serves as the corporate umbrella for a portfolio of four natural food brands, including the Company’s flagship brand Eat Smart as well as three emerging natural food brands, consisting of </w:t>
      </w:r>
      <w:r>
        <w:rPr>
          <w:rFonts w:ascii="Arial" w:cs="Arial" w:eastAsia="Arial" w:hAnsi="Arial"/>
          <w:sz w:val="17"/>
          <w:szCs w:val="17"/>
          <w:i w:val="1"/>
          <w:iCs w:val="1"/>
          <w:color w:val="auto"/>
        </w:rPr>
        <w:t>O</w:t>
      </w:r>
      <w:r>
        <w:rPr>
          <w:rFonts w:ascii="Arial" w:cs="Arial" w:eastAsia="Arial" w:hAnsi="Arial"/>
          <w:sz w:val="17"/>
          <w:szCs w:val="17"/>
          <w:color w:val="auto"/>
        </w:rPr>
        <w:t xml:space="preserve"> olive oil and vinegar products, and its two new brands, Yucatan and Cabo Fresh authentic guacamole and avocado products, acquired by the Company through the acquisition of Yucatan Foods on December 1, 2018. </w:t>
      </w:r>
      <w:r>
        <w:rPr>
          <w:rFonts w:ascii="Arial" w:cs="Arial" w:eastAsia="Arial" w:hAnsi="Arial"/>
          <w:sz w:val="17"/>
          <w:szCs w:val="17"/>
          <w:i w:val="1"/>
          <w:iCs w:val="1"/>
          <w:color w:val="auto"/>
        </w:rPr>
        <w:t>O</w:t>
      </w:r>
      <w:r>
        <w:rPr>
          <w:rFonts w:ascii="Arial" w:cs="Arial" w:eastAsia="Arial" w:hAnsi="Arial"/>
          <w:sz w:val="17"/>
          <w:szCs w:val="17"/>
          <w:color w:val="auto"/>
        </w:rPr>
        <w:t>, Yucatan and Cabo Fresh are referred to collectively as “Emerging Brands”. See Note 2 - Acquisitions for more details.</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has two proprietary polymer technology platforms: 1) Intelimer</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polymers, and 2) hyaluronan (“HA”) biopolymers.</w:t>
      </w:r>
    </w:p>
    <w:p>
      <w:pPr>
        <w:spacing w:after="0" w:line="185" w:lineRule="exact"/>
        <w:rPr>
          <w:sz w:val="20"/>
          <w:szCs w:val="20"/>
          <w:color w:val="auto"/>
        </w:rPr>
      </w:pPr>
    </w:p>
    <w:p>
      <w:pPr>
        <w:jc w:val="both"/>
        <w:ind w:firstLine="783"/>
        <w:spacing w:after="0" w:line="308" w:lineRule="auto"/>
        <w:rPr>
          <w:sz w:val="20"/>
          <w:szCs w:val="20"/>
          <w:color w:val="auto"/>
        </w:rPr>
      </w:pPr>
      <w:r>
        <w:rPr>
          <w:rFonts w:ascii="Arial" w:cs="Arial" w:eastAsia="Arial" w:hAnsi="Arial"/>
          <w:sz w:val="17"/>
          <w:szCs w:val="17"/>
          <w:color w:val="auto"/>
        </w:rPr>
        <w:t>The Company sells HA-based and non-HA biomaterials through its Lifecore Biomedical, Inc. (“Lifecore”) subsidiary. The Company’s HA biopolymers and non-HA materials are proprietary in that they are specially formulated for specific customers to meet strict regulatory requirements.</w:t>
      </w:r>
    </w:p>
    <w:p>
      <w:pPr>
        <w:spacing w:after="0" w:line="106"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The Company’s technologies, along with its customer relationships and tradenames, are the foundation and key differentiating advantages upon which Landec has built its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ind w:firstLine="783"/>
        <w:spacing w:after="0" w:line="271" w:lineRule="auto"/>
        <w:rPr>
          <w:sz w:val="20"/>
          <w:szCs w:val="20"/>
          <w:color w:val="auto"/>
        </w:rPr>
      </w:pPr>
      <w:r>
        <w:rPr>
          <w:rFonts w:ascii="Arial" w:cs="Arial" w:eastAsia="Arial" w:hAnsi="Arial"/>
          <w:sz w:val="17"/>
          <w:szCs w:val="17"/>
          <w:color w:val="auto"/>
        </w:rPr>
        <w:t>The accompanying unaudited consolidated financial statements of Landec have been prepared in accordance with United States generally accepted accounting principles (“GAAP”) for interim financial information and with the instructions for Form 10-Q and Article 10 of Regulation S-X. In the opinion of management, all adjustments (consisting of normal recurring accruals) have been made which are necessary to present fairly the financial position of the Company at November 24, 2019 and the results of operations and cash flows for all periods presented. Although Landec believes that the disclosures in these financial statements are adequate to make the information presented not misleading, certain information normally included in financial statements and related footnotes prepared in accordance with GAAP have been condensed or omitted in accordance with the rules and regulations of the Securities and Exchange Commission. The accompanying financial data should be reviewed in conjunction with the audited financial statements and accompanying notes included in Landec's Annual Report on Form 10-K for the fiscal year ended May 26, 2019.</w:t>
      </w:r>
    </w:p>
    <w:p>
      <w:pPr>
        <w:spacing w:after="0" w:line="138"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Company’s fiscal year is the 52- or 53-week period that ends on the last Sunday of May with quarters within each year ending on the last Sunday of August, November, and February; however, in instances where the last Sunday would result in a quarter being 12-weeks in length, the Company’s policy is to extend that quarter to the following Sunday. A 14th week is included in the fiscal year every five or six years to realign the Company’s fiscal quarters with calendar quarters.</w:t>
      </w:r>
    </w:p>
    <w:p>
      <w:pPr>
        <w:spacing w:after="0" w:line="146" w:lineRule="exact"/>
        <w:rPr>
          <w:sz w:val="20"/>
          <w:szCs w:val="20"/>
          <w:color w:val="auto"/>
        </w:rPr>
      </w:pPr>
    </w:p>
    <w:p>
      <w:pPr>
        <w:jc w:val="both"/>
        <w:ind w:firstLine="783"/>
        <w:spacing w:after="0" w:line="312" w:lineRule="auto"/>
        <w:rPr>
          <w:sz w:val="20"/>
          <w:szCs w:val="20"/>
          <w:color w:val="auto"/>
        </w:rPr>
      </w:pPr>
      <w:r>
        <w:rPr>
          <w:rFonts w:ascii="Arial" w:cs="Arial" w:eastAsia="Arial" w:hAnsi="Arial"/>
          <w:sz w:val="16"/>
          <w:szCs w:val="16"/>
          <w:color w:val="auto"/>
        </w:rPr>
        <w:t xml:space="preserve">In May 2019, the Company discontinued the Now Planting business. As a result, the Now Planting business, which was launched during the second quarter of fiscal year 2019, has been reclassified as a discontinued operation under the provisions of Accounting Standards Codification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xml:space="preserve"> ("ASC 205-20") for the three and six months ended November 25, 2018.</w:t>
      </w:r>
    </w:p>
    <w:p>
      <w:pPr>
        <w:spacing w:after="0" w:line="106"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results of operations for the six months ended November 24, 2019 are not necessarily indicative of the results that may be expected for an entire fiscal year because there is some seasonality in Curation Foods’ business and the order patterns of Lifecore’s customers which may lead to significant fluctuations in Landec’s quarterly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9" w:lineRule="exact"/>
        <w:rPr>
          <w:sz w:val="20"/>
          <w:szCs w:val="20"/>
          <w:color w:val="auto"/>
        </w:rPr>
      </w:pPr>
    </w:p>
    <w:p>
      <w:pPr>
        <w:jc w:val="both"/>
        <w:ind w:right="20" w:firstLine="783"/>
        <w:spacing w:after="0" w:line="286" w:lineRule="auto"/>
        <w:rPr>
          <w:sz w:val="20"/>
          <w:szCs w:val="20"/>
          <w:color w:val="auto"/>
        </w:rPr>
      </w:pPr>
      <w:r>
        <w:rPr>
          <w:rFonts w:ascii="Arial" w:cs="Arial" w:eastAsia="Arial" w:hAnsi="Arial"/>
          <w:sz w:val="17"/>
          <w:szCs w:val="17"/>
          <w:color w:val="auto"/>
        </w:rPr>
        <w:t>The consolidated financial statements are presented on the accrual basis of accounting in accordance with GAAP and include the accounts of Landec Corporation and its subsidiaries, Curation Foods and Lifecore. All intercompany transactions and balances have been eliminated. The financial results of Yucatan Foods have been included in our consolidated financial statements from the date of acquisition on December 1, 2018.</w:t>
      </w:r>
    </w:p>
    <w:p>
      <w:pPr>
        <w:spacing w:after="0" w:line="125" w:lineRule="exact"/>
        <w:rPr>
          <w:sz w:val="20"/>
          <w:szCs w:val="20"/>
          <w:color w:val="auto"/>
        </w:rPr>
      </w:pPr>
    </w:p>
    <w:p>
      <w:pPr>
        <w:jc w:val="both"/>
        <w:ind w:firstLine="783"/>
        <w:spacing w:after="0" w:line="308" w:lineRule="auto"/>
        <w:rPr>
          <w:sz w:val="20"/>
          <w:szCs w:val="20"/>
          <w:color w:val="auto"/>
        </w:rPr>
      </w:pPr>
      <w:r>
        <w:rPr>
          <w:rFonts w:ascii="Arial" w:cs="Arial" w:eastAsia="Arial" w:hAnsi="Arial"/>
          <w:sz w:val="17"/>
          <w:szCs w:val="17"/>
          <w:color w:val="auto"/>
        </w:rPr>
        <w:t>Arrangements that are not controlled through voting or similar rights are reviewed under the guidance for variable interest entities (“VIEs”). A company is required to consolidate the assets, liabilities, and operations of a VIE if it is determined to be the primary beneficiary of the VIE.</w:t>
      </w:r>
    </w:p>
    <w:p>
      <w:pPr>
        <w:spacing w:after="0" w:line="106"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An entity is a VIE and subject to consolidation, if by design: a) the total equity investment at risk is not sufficient to permit the entity to finance its activities without additional subordinated financial support provided by any parties, including equity holders, or b) as a group the holders of the equity investment at risk lack any one of the following three characteristics: (i) the power, through voting rights or similar rights to direct the activities of an entity that most significantly impact the entity’s economic performance, (ii) the obligation to absorb the expected losses of the entity, or (iii) the right to receive the expected residual returns of the entity. The Company reviewed the consolidation guidance and concluded that the partnership interest and equity investment in the non-public company are not VIEs.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Certain reclassifications have been made to prior year financial statements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firstLine="783"/>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certain estimates and judgments that affect the amounts reported in the financial statements and accompanying notes. The accounting estimates that require management’s most significant and subjective judgments include revenue recognition; loss contingencies; sales returns and allowances; inventories; self-insurance liabilities; recognition and measurement of current and deferred income tax assets and liabilities; the assessment of recoverability of long-lived assets including intangible assets and inventory; the valuation of investments; and the valuation and recognition of stock-based compensation.</w:t>
      </w:r>
    </w:p>
    <w:p>
      <w:pPr>
        <w:spacing w:after="0" w:line="148"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These estimates involve the consideration of complex factors and require management to make judgments. The analysis of historical and future trends can require extended periods of time to resolve and are subject to change from period to period. The actual results may differ from management’s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ind w:firstLine="783"/>
        <w:spacing w:after="0" w:line="308" w:lineRule="auto"/>
        <w:rPr>
          <w:sz w:val="20"/>
          <w:szCs w:val="20"/>
          <w:color w:val="auto"/>
        </w:rPr>
      </w:pPr>
      <w:r>
        <w:rPr>
          <w:rFonts w:ascii="Arial" w:cs="Arial" w:eastAsia="Arial" w:hAnsi="Arial"/>
          <w:sz w:val="17"/>
          <w:szCs w:val="17"/>
          <w:color w:val="auto"/>
        </w:rPr>
        <w:t>The Company records all highly liquid securities with three months or less from date of purchase to maturity as cash equivalents. Cash equivalents consist mainly of money market funds. The market value of cash equivalents approximates their historical cost given their short-term nature.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Cash and Cash Equivalents and Restricted Cash as presented on the Statements of Cash Flows</w:t>
      </w:r>
    </w:p>
    <w:p>
      <w:pPr>
        <w:spacing w:after="0" w:line="185"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November 24,</w:t>
            </w:r>
          </w:p>
        </w:tc>
        <w:tc>
          <w:tcPr>
            <w:tcW w:w="340" w:type="dxa"/>
            <w:vAlign w:val="bottom"/>
          </w:tcPr>
          <w:p>
            <w:pPr>
              <w:spacing w:after="0"/>
              <w:rPr>
                <w:sz w:val="18"/>
                <w:szCs w:val="18"/>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color w:val="auto"/>
              </w:rPr>
              <w:t>May 26,</w:t>
            </w:r>
          </w:p>
        </w:tc>
        <w:tc>
          <w:tcPr>
            <w:tcW w:w="26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November 25,</w:t>
            </w:r>
          </w:p>
        </w:tc>
        <w:tc>
          <w:tcPr>
            <w:tcW w:w="340" w:type="dxa"/>
            <w:vAlign w:val="bottom"/>
          </w:tcPr>
          <w:p>
            <w:pPr>
              <w:spacing w:after="0"/>
              <w:rPr>
                <w:sz w:val="18"/>
                <w:szCs w:val="18"/>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color w:val="auto"/>
              </w:rPr>
              <w:t>May 27,</w:t>
            </w: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650"/>
              <w:spacing w:after="0"/>
              <w:rPr>
                <w:sz w:val="20"/>
                <w:szCs w:val="20"/>
                <w:color w:val="auto"/>
              </w:rPr>
            </w:pPr>
            <w:r>
              <w:rPr>
                <w:rFonts w:ascii="Arial" w:cs="Arial" w:eastAsia="Arial" w:hAnsi="Arial"/>
                <w:sz w:val="18"/>
                <w:szCs w:val="18"/>
                <w:color w:val="auto"/>
              </w:rPr>
              <w:t>2018</w:t>
            </w: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3,216</w:t>
            </w: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Company was required to maintain $0.4 million of restricted cash at November 24, 2019 and May 26, 2019 related to certain collateral requirements for obligations under its workers' compensation programs. The restricted cash is included in Other assets in the Company’s accompanying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November 24,</w:t>
            </w:r>
          </w:p>
        </w:tc>
        <w:tc>
          <w:tcPr>
            <w:tcW w:w="28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May 26,</w:t>
            </w: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2019</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26,748</w:t>
            </w: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58,563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54,132</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If the cost of the inventories exceeds their net realizable value, provisions are recorded currently to reduce them to net realizable value. The Company also records a provision for slow moving and obsolete inventories based on the estimate of demand for its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jc w:val="both"/>
        <w:ind w:firstLine="783"/>
        <w:spacing w:after="0" w:line="297" w:lineRule="auto"/>
        <w:rPr>
          <w:sz w:val="20"/>
          <w:szCs w:val="20"/>
          <w:color w:val="auto"/>
        </w:rPr>
      </w:pPr>
      <w:r>
        <w:rPr>
          <w:rFonts w:ascii="Arial" w:cs="Arial" w:eastAsia="Arial" w:hAnsi="Arial"/>
          <w:sz w:val="16"/>
          <w:szCs w:val="16"/>
          <w:color w:val="auto"/>
        </w:rPr>
        <w:t>The Company sells products to and earns license fees from Windset Holdings 2010 Ltd. (“Windset”). During the three months ended November 24, 2019 and November 25, 2018, the Company recognized revenues of $0.1 million and $0.1 million, respectively. During the six months ended November 24, 2019 and November 25, 2018, the Company recognized revenues of $0.2 million and $0.2 million, respectively. These amounts have been included in Product sales in the accompanying Consolidated Statements of Comprehensive Loss. The related receivable balances of $0.1 million and $0.5 million are included in Accounts receivable in the accompanying Consolidated Balance Sheets as of November 24, 2019 and May 26, 2019, respectively.</w:t>
      </w:r>
    </w:p>
    <w:p>
      <w:pPr>
        <w:spacing w:after="0" w:line="118" w:lineRule="exact"/>
        <w:rPr>
          <w:sz w:val="20"/>
          <w:szCs w:val="20"/>
          <w:color w:val="auto"/>
        </w:rPr>
      </w:pPr>
    </w:p>
    <w:p>
      <w:pPr>
        <w:ind w:right="860" w:firstLine="783"/>
        <w:spacing w:after="0" w:line="454" w:lineRule="auto"/>
        <w:rPr>
          <w:sz w:val="20"/>
          <w:szCs w:val="20"/>
          <w:color w:val="auto"/>
        </w:rPr>
      </w:pPr>
      <w:r>
        <w:rPr>
          <w:rFonts w:ascii="Arial" w:cs="Arial" w:eastAsia="Arial" w:hAnsi="Arial"/>
          <w:sz w:val="18"/>
          <w:szCs w:val="18"/>
          <w:color w:val="auto"/>
        </w:rPr>
        <w:t xml:space="preserve">All related party transactions are monitored quarterly by the Company and approved by the Audit Committee of the Board of Directors. </w:t>
      </w:r>
      <w:r>
        <w:rPr>
          <w:rFonts w:ascii="Arial" w:cs="Arial" w:eastAsia="Arial" w:hAnsi="Arial"/>
          <w:sz w:val="18"/>
          <w:szCs w:val="18"/>
          <w:b w:val="1"/>
          <w:bCs w:val="1"/>
          <w:color w:val="auto"/>
        </w:rPr>
        <w:t>Debt Issuance Costs</w:t>
      </w:r>
    </w:p>
    <w:p>
      <w:pPr>
        <w:jc w:val="both"/>
        <w:ind w:firstLine="783"/>
        <w:spacing w:after="0" w:line="276" w:lineRule="auto"/>
        <w:rPr>
          <w:sz w:val="20"/>
          <w:szCs w:val="20"/>
          <w:color w:val="auto"/>
        </w:rPr>
      </w:pPr>
      <w:r>
        <w:rPr>
          <w:rFonts w:ascii="Arial" w:cs="Arial" w:eastAsia="Arial" w:hAnsi="Arial"/>
          <w:sz w:val="17"/>
          <w:szCs w:val="17"/>
          <w:color w:val="auto"/>
        </w:rPr>
        <w:t>The Company records its line of credit debt issuance costs as an asset, and as such, $0.2 million and $0.4 million were recorded as Prepaid expenses and other current assets, and Other assets in the accompanying Consolidated Balance Sheets, respectively, as of November 24, 2019 and $0.1 million and $0.2 million, respectively, as of May 26, 2019. The Company records its term debt issuance costs as a contra-liability, and as such, $0.3 million and $0.5 million was recorded as Current portion of long-term debt, and Long-term debt net in the accompanying Consolidated Balance Sheets, respectively, as of November 24, 2019 and $0.2 million and $0.3 million, respectively, as of May 26,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89"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Company’s financial instruments are primarily composed of commercial-term trade payables, grower advances, notes receivable, and debt instruments. For short-term instruments, the historical carrying amount approximates the fair value of the instrument. The fair value of long-term debt approximates its carrying value.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85" w:lineRule="exact"/>
        <w:rPr>
          <w:sz w:val="20"/>
          <w:szCs w:val="20"/>
          <w:color w:val="auto"/>
        </w:rPr>
      </w:pPr>
    </w:p>
    <w:p>
      <w:pPr>
        <w:jc w:val="both"/>
        <w:ind w:firstLine="783"/>
        <w:spacing w:after="0" w:line="273" w:lineRule="auto"/>
        <w:rPr>
          <w:sz w:val="20"/>
          <w:szCs w:val="20"/>
          <w:color w:val="auto"/>
        </w:rPr>
      </w:pPr>
      <w:r>
        <w:rPr>
          <w:rFonts w:ascii="Arial" w:cs="Arial" w:eastAsia="Arial" w:hAnsi="Arial"/>
          <w:sz w:val="17"/>
          <w:szCs w:val="17"/>
          <w:color w:val="auto"/>
        </w:rPr>
        <w:t>The Company has entered into interest rate swap contracts to manage interest rate risk. These derivative instruments may offset a portion of the changes in interest expense. The Company designates these derivative instruments as cash flow hedges. The Company’s derivative instruments are subject to master netting arrangements. These arrangements include provisions to setoff positions with the same counterparties in the event of default by one of the parties. The Company accounts for its derivative instruments as either an asset or a liability and carries them at fair value in Other assets or Other non-current liabilities in the accompanying Consolidated Balance Sheets. The accounting for changes in the fair value of derivative instruments depends on the intended use of the derivative instrument and the resulting designation.</w:t>
      </w:r>
    </w:p>
    <w:p>
      <w:pPr>
        <w:spacing w:after="0" w:line="138" w:lineRule="exact"/>
        <w:rPr>
          <w:sz w:val="20"/>
          <w:szCs w:val="20"/>
          <w:color w:val="auto"/>
        </w:rPr>
      </w:pPr>
    </w:p>
    <w:p>
      <w:pPr>
        <w:jc w:val="both"/>
        <w:ind w:firstLine="783"/>
        <w:spacing w:after="0" w:line="276" w:lineRule="auto"/>
        <w:rPr>
          <w:sz w:val="20"/>
          <w:szCs w:val="20"/>
          <w:color w:val="auto"/>
        </w:rPr>
      </w:pPr>
      <w:r>
        <w:rPr>
          <w:rFonts w:ascii="Arial" w:cs="Arial" w:eastAsia="Arial" w:hAnsi="Arial"/>
          <w:sz w:val="17"/>
          <w:szCs w:val="17"/>
          <w:color w:val="auto"/>
        </w:rPr>
        <w:t>For derivative instruments that hedge the exposure to variability in expected future cash flows that are designated as cash flow hedges, the effective portion of the gain or loss on the derivative instrument is reported as a component of Accumulated Other Comprehensive Income (“AOCI”) in Stockholders’ Equity and reclassified into earnings in the same period or periods during which the hedged transaction affects earnings. The ineffective portion of the gain or loss on the derivative instrument, if any, is recognized in earnings in the current period. To receive hedge accounting treatment, cash flow hedges must be highly effective in offsetting changes to expected future cash flows on hedged transactions.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185"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Comprehensive income consists of two components, net income and Other Comprehensive Income (“OCI”). OCI refers to revenue, expenses, and gains and losses that under GAAP are recorded as a component of stockholders’ equity but are excluded from the determination of net income. The Company’s AOCI consists of net deferred gains and losses on its interest rate swap contracts accounted for as cash flow hedges. The components of AOCI, net of tax,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AOCI</w:t>
            </w:r>
          </w:p>
        </w:tc>
      </w:tr>
      <w:tr>
        <w:trPr>
          <w:trHeight w:val="27"/>
        </w:trPr>
        <w:tc>
          <w:tcPr>
            <w:tcW w:w="9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OCI, net, as of May 26,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Unrealized losses on interest rate swap contracts, net of tax effect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7"/>
        </w:trPr>
        <w:tc>
          <w:tcPr>
            <w:tcW w:w="9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OCI, net, as of November 24, 2019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0"/>
        </w:trPr>
        <w:tc>
          <w:tcPr>
            <w:tcW w:w="9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The Company does not expect any transactions or other events to occur that would result in the reclassification of any significant gains or losses into earnings in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Non-Public Company</w:t>
      </w:r>
    </w:p>
    <w:p>
      <w:pPr>
        <w:spacing w:after="0" w:line="189" w:lineRule="exact"/>
        <w:rPr>
          <w:sz w:val="20"/>
          <w:szCs w:val="20"/>
          <w:color w:val="auto"/>
        </w:rPr>
      </w:pPr>
    </w:p>
    <w:p>
      <w:pPr>
        <w:jc w:val="both"/>
        <w:ind w:firstLine="783"/>
        <w:spacing w:after="0" w:line="286" w:lineRule="auto"/>
        <w:rPr>
          <w:sz w:val="20"/>
          <w:szCs w:val="20"/>
          <w:color w:val="auto"/>
        </w:rPr>
      </w:pPr>
      <w:r>
        <w:rPr>
          <w:rFonts w:ascii="Arial" w:cs="Arial" w:eastAsia="Arial" w:hAnsi="Arial"/>
          <w:sz w:val="17"/>
          <w:szCs w:val="17"/>
          <w:color w:val="auto"/>
        </w:rPr>
        <w:t>On February 15, 2011, the Company made its initial investment in Windset which is reported as an Investment in non-public company, fair value, in the accompanying Consolidated Balance Sheets as of November 24, 2019 and May 26, 2019. The Company has elected to account for its investment in Windset under the fair value option. See Note 3 – Investment in Non-public Company, for further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175"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In June 2019, the Company designated the Santa Maria, California office as the Curation Foods headquarters, and decided to close and put up for sale the Curation Foods office in San Rafael, California. In the first quarter of fiscal year 2020, the San Rafael property has been designated as held for sale and the net carrying value of $2.8 million was reclassified from Property and equipment, net to Other current assets within the Consolidated Balance Sheet. The Company recognized a $0.4 million impairment loss during the three and six months ended November 24, 2019, which is included in Selling, general and administrative within the Consolidated Statements of Comprehensive Loss. The net carrying value of $2.4 million is presented as Other current assets within the Consolidated Balance Sheet as of November 24,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ind w:firstLine="783"/>
        <w:spacing w:after="0" w:line="291" w:lineRule="auto"/>
        <w:rPr>
          <w:sz w:val="20"/>
          <w:szCs w:val="20"/>
          <w:color w:val="auto"/>
        </w:rPr>
      </w:pPr>
      <w:r>
        <w:rPr>
          <w:rFonts w:ascii="Arial" w:cs="Arial" w:eastAsia="Arial" w:hAnsi="Arial"/>
          <w:sz w:val="16"/>
          <w:szCs w:val="16"/>
          <w:color w:val="auto"/>
        </w:rPr>
        <w:t>Under Topic 842, the Company determines if an arrangement is a lease at inception. Right-of-use ("ROU") assets and liabilities are recognized at commencement date based on the present value of remaining lease payments over the lease term. For this purpose, the Company considers only payments that are fixed and determinable at the time of commencement. As most of the leases do not provide an implicit rate, the Company uses its incremental borrowing rate based on the information available at commencement date in determining the present value of lease payments. The incremental borrowing rate is a quoted rate based on the understanding of what the Company's credit rating would be. Certain agreements may contain the option to extend the lease term, terminate the lease before the contractual expiration date, or purchase the leased asset. The Company, when reasonably certain to exercise the option, considers these options in determining the measurement of the lease. The Company's lease agreements do not contain any material residual value guarantees.</w:t>
      </w:r>
    </w:p>
    <w:p>
      <w:pPr>
        <w:spacing w:after="0" w:line="127"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Company's lease agreements generally contain lease and non-lease components. Non-lease components primarily include payments for maintenance and utilities. The Company combines fixed payments for non-lease components with lease payments and account for them together as a single lease component which increases the amount of lease assets and liabilities.</w:t>
      </w:r>
    </w:p>
    <w:p>
      <w:pPr>
        <w:spacing w:after="0" w:line="141" w:lineRule="exact"/>
        <w:rPr>
          <w:sz w:val="20"/>
          <w:szCs w:val="20"/>
          <w:color w:val="auto"/>
        </w:rPr>
      </w:pPr>
    </w:p>
    <w:p>
      <w:pPr>
        <w:jc w:val="both"/>
        <w:ind w:right="20" w:firstLine="783"/>
        <w:spacing w:after="0" w:line="342" w:lineRule="auto"/>
        <w:rPr>
          <w:sz w:val="20"/>
          <w:szCs w:val="20"/>
          <w:color w:val="auto"/>
        </w:rPr>
      </w:pPr>
      <w:r>
        <w:rPr>
          <w:rFonts w:ascii="Arial" w:cs="Arial" w:eastAsia="Arial" w:hAnsi="Arial"/>
          <w:sz w:val="16"/>
          <w:szCs w:val="16"/>
          <w:color w:val="auto"/>
        </w:rPr>
        <w:t>Payments under lease arrangements are primarily fixed, however, certain lease agreements contain variable payments, which are expensed as incurred and not included in the operating lease assets and liabilities. These amounts primarily include payments affected by changes in price indices.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The Company’s intangible assets are comprised of customer relationships with a finite estimated useful life of eleven to thirteen years, and trademarks/tradenames and goodwill with indefinite useful lives.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783"/>
        <w:spacing w:after="0" w:line="286" w:lineRule="auto"/>
        <w:rPr>
          <w:sz w:val="20"/>
          <w:szCs w:val="20"/>
          <w:color w:val="auto"/>
        </w:rPr>
      </w:pPr>
      <w:r>
        <w:rPr>
          <w:rFonts w:ascii="Arial" w:cs="Arial" w:eastAsia="Arial" w:hAnsi="Arial"/>
          <w:sz w:val="17"/>
          <w:szCs w:val="17"/>
          <w:color w:val="auto"/>
        </w:rPr>
        <w:t>Finite-lived intangible assets are reviewed for possible impairment whenever events or changes in circumstances occur that indicate that the carrying amount of an asset (or asset group) may not be recoverable. Indefinite lived intangible assets are reviewed for impairment at least annually. For goodwill and other indefinite-lived intangible assets, the Company performs a qualitative impairment analysis in accordance with ASC 350-30-35.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Partial Self-Insurance on Employee Health and Workers Compensation Plans</w:t>
      </w:r>
    </w:p>
    <w:p>
      <w:pPr>
        <w:spacing w:after="0" w:line="189" w:lineRule="exact"/>
        <w:rPr>
          <w:sz w:val="20"/>
          <w:szCs w:val="20"/>
          <w:color w:val="auto"/>
        </w:rPr>
      </w:pPr>
    </w:p>
    <w:p>
      <w:pPr>
        <w:jc w:val="both"/>
        <w:ind w:firstLine="783"/>
        <w:spacing w:after="0" w:line="272" w:lineRule="auto"/>
        <w:rPr>
          <w:sz w:val="20"/>
          <w:szCs w:val="20"/>
          <w:color w:val="auto"/>
        </w:rPr>
      </w:pPr>
      <w:r>
        <w:rPr>
          <w:rFonts w:ascii="Arial" w:cs="Arial" w:eastAsia="Arial" w:hAnsi="Arial"/>
          <w:sz w:val="17"/>
          <w:szCs w:val="17"/>
          <w:color w:val="auto"/>
        </w:rPr>
        <w:t>The Company provides health insurance benefits to eligible employees under self-insured plans whereby the Company pays actual medical claims subject to certain stop loss limits and self-insures its workers compensation claims. The Company records self-insurance liabilities based on actual claims filed and an estimate of those claims incurred but not reported. Any projection of losses concerning the Company's liability is subject to a high degree of variability. Among the causes of this variability are unpredictable external factors such as inflation rates, changes in severity, benefit level changes, medical costs, and claims settlement patterns. This self-insurance liability is included in Other accrued liabilities in the accompanying Consolidated Balance Sheets and represents management's best estimate of the amounts that have not been paid as of November 24, 2019 and May 26, 2019. It is reasonably possible that the expense the Company ultimately incurs could differ and adjustments to future reserves may be 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Interruption Insurance Recoveries</w:t>
      </w:r>
    </w:p>
    <w:p>
      <w:pPr>
        <w:spacing w:after="0" w:line="189"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In the third quarter of fiscal year 2019, the Company recalled five SKUs of Eat Smart single-serve Salad Shake-Ups!</w:t>
      </w:r>
      <w:r>
        <w:rPr>
          <w:rFonts w:ascii="Arial" w:cs="Arial" w:eastAsia="Arial" w:hAnsi="Arial"/>
          <w:sz w:val="14"/>
          <w:szCs w:val="14"/>
          <w:color w:val="auto"/>
        </w:rPr>
        <w:t>™</w:t>
      </w:r>
      <w:r>
        <w:rPr>
          <w:rFonts w:ascii="Arial" w:cs="Arial" w:eastAsia="Arial" w:hAnsi="Arial"/>
          <w:sz w:val="18"/>
          <w:szCs w:val="18"/>
          <w:color w:val="auto"/>
        </w:rPr>
        <w:t>. In the fourth quarter of fiscal year 2019, the Company submitted a product recall claim. During the three and six months ended November 24, 2019, the Company recognized $0.6 million and $3.0 million, respectively, of business interruption insurance recoveries. Amounts received on insurance recoveries related to business interruption are recorded as a reduction to “Cost of sales” and are classified as operating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ind w:firstLine="783"/>
        <w:spacing w:after="0" w:line="279" w:lineRule="auto"/>
        <w:rPr>
          <w:sz w:val="20"/>
          <w:szCs w:val="20"/>
          <w:color w:val="auto"/>
        </w:rPr>
      </w:pPr>
      <w:r>
        <w:rPr>
          <w:rFonts w:ascii="Arial" w:cs="Arial" w:eastAsia="Arial" w:hAnsi="Arial"/>
          <w:sz w:val="17"/>
          <w:szCs w:val="17"/>
          <w:color w:val="auto"/>
        </w:rPr>
        <w:t>The Company uses fair value measurement accounting for financial assets and liabilities and for financial instruments and certain other items measured at fair value. The Company has elected the fair value option for its investment in a non-public company. See Note 3 – Investment in Non-public Company for further information. The Company also measures its contingent consideration liability at fair value. See Note 2 – Acquisitions for further information. The Company has not elected the fair value option for any of its other eligible financial assets or liabilities.</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accounting guidance established a three-tier hierarchy for fair value measurements, which prioritizes the inputs used in measuring fair value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Level 1 – observable inputs such as quoted prices for identical instruments in active markets.</w:t>
      </w:r>
    </w:p>
    <w:p>
      <w:pPr>
        <w:spacing w:after="0" w:line="185"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Level 2 – inputs other than quoted prices in active markets that are observable either directly or indirectly through corroboration with observable market data.</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Level 3 – unobservable inputs in which there is little or no market data, which would require the Company to develop its own assumptions.</w:t>
      </w:r>
    </w:p>
    <w:p>
      <w:pPr>
        <w:spacing w:after="0" w:line="196"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 xml:space="preserve">As of November 24, 2019 and May 26, 2019, the Company held certain assets and liabilities that are required to be measured at fair value on a recurring basis, including its interest rate swap contracts, its minority interest investment in Windset and its contingent consideration liability from the acquisition of </w:t>
      </w:r>
      <w:r>
        <w:rPr>
          <w:rFonts w:ascii="Arial" w:cs="Arial" w:eastAsia="Arial" w:hAnsi="Arial"/>
          <w:sz w:val="18"/>
          <w:szCs w:val="18"/>
          <w:i w:val="1"/>
          <w:iCs w:val="1"/>
          <w:color w:val="auto"/>
        </w:rPr>
        <w:t>O</w:t>
      </w:r>
      <w:r>
        <w:rPr>
          <w:rFonts w:ascii="Arial" w:cs="Arial" w:eastAsia="Arial" w:hAnsi="Arial"/>
          <w:sz w:val="18"/>
          <w:szCs w:val="18"/>
          <w:color w:val="auto"/>
        </w:rPr>
        <w:t>.</w:t>
      </w:r>
    </w:p>
    <w:p>
      <w:pPr>
        <w:spacing w:after="0" w:line="141"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fair value of the Company’s interest rate swap contracts is determined based on model inputs that can be observed in a liquid market, including yield curves, and is categorized as a Level 2 fair value measurement and is included in Other assets or Other non-current liabilities in the accompanying Consolidated Balance Sheets.</w:t>
      </w:r>
    </w:p>
    <w:p>
      <w:pPr>
        <w:spacing w:after="0" w:line="141"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 xml:space="preserve">The fair value of the Company’s contingent consideration liability from the acquisition of </w:t>
      </w:r>
      <w:r>
        <w:rPr>
          <w:rFonts w:ascii="Arial" w:cs="Arial" w:eastAsia="Arial" w:hAnsi="Arial"/>
          <w:sz w:val="18"/>
          <w:szCs w:val="18"/>
          <w:i w:val="1"/>
          <w:iCs w:val="1"/>
          <w:color w:val="auto"/>
        </w:rPr>
        <w:t>O</w:t>
      </w:r>
      <w:r>
        <w:rPr>
          <w:rFonts w:ascii="Arial" w:cs="Arial" w:eastAsia="Arial" w:hAnsi="Arial"/>
          <w:sz w:val="18"/>
          <w:szCs w:val="18"/>
          <w:color w:val="auto"/>
        </w:rPr>
        <w:t xml:space="preserve"> utilizes significant unobservable inputs, including projected earnings before interest, taxes, depreciation and amortization (“EBITDA”) and discount rates. As a result, the Company’s contingent consideration liability associated with the </w:t>
      </w:r>
      <w:r>
        <w:rPr>
          <w:rFonts w:ascii="Arial" w:cs="Arial" w:eastAsia="Arial" w:hAnsi="Arial"/>
          <w:sz w:val="18"/>
          <w:szCs w:val="18"/>
          <w:i w:val="1"/>
          <w:iCs w:val="1"/>
          <w:color w:val="auto"/>
        </w:rPr>
        <w:t>O</w:t>
      </w:r>
      <w:r>
        <w:rPr>
          <w:rFonts w:ascii="Arial" w:cs="Arial" w:eastAsia="Arial" w:hAnsi="Arial"/>
          <w:sz w:val="18"/>
          <w:szCs w:val="18"/>
          <w:color w:val="auto"/>
        </w:rPr>
        <w:t xml:space="preserve"> acquisition is considered a Level 3 measurement liability and is included in Other non-current liabilities in the accompanying Consolidated Balance Sheets. During the three months ended November 24, 2019 the Company estimated that no earn out would be earned under the agreement and therefore reversed the remaining $0.5 million of contingent liability which is included in Selling, general and administrative within the Consolidated Statements of Comprehensive Loss.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In determining the fair value of the Company’s contingent consideration liability, the Company utilizes the following significant unobservable inputs in the discounted cash flow models: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At November 24,</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At May 26,</w:t>
            </w:r>
          </w:p>
        </w:tc>
      </w:tr>
      <w:tr>
        <w:trPr>
          <w:trHeight w:val="230"/>
        </w:trPr>
        <w:tc>
          <w:tcPr>
            <w:tcW w:w="79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debt</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5.1% to 5.5%</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5.1% to 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Market price of risk adjustment</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14%</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volatility</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28%</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28%</w:t>
            </w:r>
          </w:p>
        </w:tc>
      </w:tr>
      <w:tr>
        <w:trPr>
          <w:trHeight w:val="27"/>
        </w:trPr>
        <w:tc>
          <w:tcPr>
            <w:tcW w:w="79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The fair value of our contingent consideration liability is not considered sensitive to change in forecasts. A 10% increase in EBITDA forecast would have an immaterial impact on the value of the contingent consideration liability as of November 24, 2019.</w:t>
      </w:r>
    </w:p>
    <w:p>
      <w:pPr>
        <w:spacing w:after="0" w:line="130" w:lineRule="exact"/>
        <w:rPr>
          <w:sz w:val="20"/>
          <w:szCs w:val="20"/>
          <w:color w:val="auto"/>
        </w:rPr>
      </w:pPr>
    </w:p>
    <w:p>
      <w:pPr>
        <w:jc w:val="both"/>
        <w:ind w:firstLine="783"/>
        <w:spacing w:after="0" w:line="279" w:lineRule="auto"/>
        <w:rPr>
          <w:sz w:val="20"/>
          <w:szCs w:val="20"/>
          <w:color w:val="auto"/>
        </w:rPr>
      </w:pPr>
      <w:r>
        <w:rPr>
          <w:rFonts w:ascii="Arial" w:cs="Arial" w:eastAsia="Arial" w:hAnsi="Arial"/>
          <w:sz w:val="17"/>
          <w:szCs w:val="17"/>
          <w:color w:val="auto"/>
        </w:rPr>
        <w:t>The Company has elected the fair value option of accounting for its investment in Windset. The calculation of fair value utilizes significant unobservable inputs, including projected cash flows, growth rates, and discount rates. As a result, the Company’s investment in Windset is considered to be a Level 3 measurement investment. The change in the fair value of the Company’s investment in Windset for the three and six months ended November 24, 2019 was due to the Company's 26.9% minority interest in the change in the fair market value of Windset during the period.</w:t>
      </w:r>
    </w:p>
    <w:p>
      <w:pPr>
        <w:spacing w:after="0" w:line="131"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In determining the fair value of the investment in Windset, the Company utilizes the following significant unobservable inputs in the discounted cash flow models: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At November 24,</w:t>
            </w:r>
          </w:p>
        </w:tc>
        <w:tc>
          <w:tcPr>
            <w:tcW w:w="1700" w:type="dxa"/>
            <w:vAlign w:val="bottom"/>
          </w:tcPr>
          <w:p>
            <w:pPr>
              <w:ind w:left="420"/>
              <w:spacing w:after="0"/>
              <w:rPr>
                <w:sz w:val="20"/>
                <w:szCs w:val="20"/>
                <w:color w:val="auto"/>
              </w:rPr>
            </w:pPr>
            <w:r>
              <w:rPr>
                <w:rFonts w:ascii="Arial" w:cs="Arial" w:eastAsia="Arial" w:hAnsi="Arial"/>
                <w:sz w:val="18"/>
                <w:szCs w:val="18"/>
                <w:color w:val="auto"/>
              </w:rPr>
              <w:t>At May 26,</w:t>
            </w:r>
          </w:p>
        </w:tc>
      </w:tr>
      <w:tr>
        <w:trPr>
          <w:trHeight w:val="230"/>
        </w:trPr>
        <w:tc>
          <w:tcPr>
            <w:tcW w:w="79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growth rates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7%</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Expense growth rates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5% to 7%</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rates</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Discount rates</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12%</w:t>
            </w:r>
          </w:p>
        </w:tc>
      </w:tr>
    </w:tbl>
    <w:p>
      <w:pPr>
        <w:spacing w:after="0" w:line="188"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revenue growth, expense growth, and income tax rate assumptions are considered the Company's best estimate of the trends in those items over the discount period. The discount rate assumption takes into account the risk-free rate of return, the market equity risk premium, and the company’s specific risk premium and then applies an additional discount for lack of liquidity of the underlying securities. The discounted cash flow valuation model used by the Company has the following sensitivity to changes in inputs and assumptions: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center"/>
              <w:ind w:right="110"/>
              <w:spacing w:after="0"/>
              <w:rPr>
                <w:sz w:val="20"/>
                <w:szCs w:val="20"/>
                <w:color w:val="auto"/>
              </w:rPr>
            </w:pPr>
            <w:r>
              <w:rPr>
                <w:rFonts w:ascii="Arial" w:cs="Arial" w:eastAsia="Arial" w:hAnsi="Arial"/>
                <w:sz w:val="18"/>
                <w:szCs w:val="18"/>
                <w:color w:val="auto"/>
                <w:w w:val="92"/>
              </w:rPr>
              <w:t>Impact on value of</w:t>
            </w:r>
          </w:p>
        </w:tc>
      </w:tr>
      <w:tr>
        <w:trPr>
          <w:trHeight w:val="216"/>
        </w:trPr>
        <w:tc>
          <w:tcPr>
            <w:tcW w:w="9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Arial" w:cs="Arial" w:eastAsia="Arial" w:hAnsi="Arial"/>
                <w:sz w:val="18"/>
                <w:szCs w:val="18"/>
                <w:color w:val="auto"/>
                <w:w w:val="91"/>
              </w:rPr>
              <w:t>investment in Windset</w:t>
            </w:r>
          </w:p>
        </w:tc>
      </w:tr>
      <w:tr>
        <w:trPr>
          <w:trHeight w:val="230"/>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2200" w:type="dxa"/>
            <w:vAlign w:val="bottom"/>
          </w:tcPr>
          <w:p>
            <w:pPr>
              <w:jc w:val="center"/>
              <w:ind w:right="90"/>
              <w:spacing w:after="0"/>
              <w:rPr>
                <w:sz w:val="20"/>
                <w:szCs w:val="20"/>
                <w:color w:val="auto"/>
              </w:rPr>
            </w:pPr>
            <w:r>
              <w:rPr>
                <w:rFonts w:ascii="Arial" w:cs="Arial" w:eastAsia="Arial" w:hAnsi="Arial"/>
                <w:sz w:val="18"/>
                <w:szCs w:val="18"/>
                <w:color w:val="auto"/>
                <w:w w:val="90"/>
              </w:rPr>
              <w:t>as of November 24, 2019</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increase in revenue growth rates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10% increase in expense growth rates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(4,200)</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increase in income tax rates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10% increase in discount rates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(3,600)</w:t>
            </w:r>
          </w:p>
        </w:tc>
      </w:tr>
    </w:tbl>
    <w:p>
      <w:pPr>
        <w:spacing w:after="0" w:line="188" w:lineRule="exact"/>
        <w:rPr>
          <w:sz w:val="20"/>
          <w:szCs w:val="20"/>
          <w:color w:val="auto"/>
        </w:rPr>
      </w:pPr>
    </w:p>
    <w:p>
      <w:pPr>
        <w:jc w:val="both"/>
        <w:ind w:firstLine="783"/>
        <w:spacing w:after="0" w:line="342" w:lineRule="auto"/>
        <w:rPr>
          <w:sz w:val="20"/>
          <w:szCs w:val="20"/>
          <w:color w:val="auto"/>
        </w:rPr>
      </w:pPr>
      <w:r>
        <w:rPr>
          <w:rFonts w:ascii="Arial" w:cs="Arial" w:eastAsia="Arial" w:hAnsi="Arial"/>
          <w:sz w:val="16"/>
          <w:szCs w:val="16"/>
          <w:color w:val="auto"/>
        </w:rPr>
        <w:t>Imprecision in estimating unobservable market inputs can affect the amount of gain or loss recorded for a particular position. The use of different methodologies or assumptions to determine the fair value of certain financial instruments could result in a different estimate of fair value at the reporting date.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summarizes the fair value of the Company’s assets and liabilities that are measured at fair value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3860" w:type="dxa"/>
            <w:vAlign w:val="bottom"/>
            <w:gridSpan w:val="8"/>
          </w:tcPr>
          <w:p>
            <w:pPr>
              <w:jc w:val="center"/>
              <w:ind w:right="340"/>
              <w:spacing w:after="0"/>
              <w:rPr>
                <w:sz w:val="20"/>
                <w:szCs w:val="20"/>
                <w:color w:val="auto"/>
              </w:rPr>
            </w:pPr>
            <w:r>
              <w:rPr>
                <w:rFonts w:ascii="Arial" w:cs="Arial" w:eastAsia="Arial" w:hAnsi="Arial"/>
                <w:sz w:val="18"/>
                <w:szCs w:val="18"/>
                <w:color w:val="auto"/>
                <w:w w:val="90"/>
              </w:rPr>
              <w:t>Fair Value at November 24, 2019</w:t>
            </w:r>
          </w:p>
        </w:tc>
        <w:tc>
          <w:tcPr>
            <w:tcW w:w="940" w:type="dxa"/>
            <w:vAlign w:val="bottom"/>
          </w:tcPr>
          <w:p>
            <w:pPr>
              <w:spacing w:after="0"/>
              <w:rPr>
                <w:sz w:val="20"/>
                <w:szCs w:val="20"/>
                <w:color w:val="auto"/>
              </w:rPr>
            </w:pPr>
          </w:p>
        </w:tc>
        <w:tc>
          <w:tcPr>
            <w:tcW w:w="2100" w:type="dxa"/>
            <w:vAlign w:val="bottom"/>
            <w:gridSpan w:val="6"/>
          </w:tcPr>
          <w:p>
            <w:pPr>
              <w:jc w:val="center"/>
              <w:spacing w:after="0"/>
              <w:rPr>
                <w:sz w:val="20"/>
                <w:szCs w:val="20"/>
                <w:color w:val="auto"/>
              </w:rPr>
            </w:pPr>
            <w:r>
              <w:rPr>
                <w:rFonts w:ascii="Arial" w:cs="Arial" w:eastAsia="Arial" w:hAnsi="Arial"/>
                <w:sz w:val="18"/>
                <w:szCs w:val="18"/>
                <w:color w:val="auto"/>
                <w:w w:val="90"/>
              </w:rPr>
              <w:t>Fair Value at May 26, 2019</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940" w:type="dxa"/>
            <w:vAlign w:val="bottom"/>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Level 2</w:t>
            </w:r>
          </w:p>
        </w:tc>
        <w:tc>
          <w:tcPr>
            <w:tcW w:w="3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Investment in non-public company</w:t>
            </w:r>
          </w:p>
        </w:tc>
        <w:tc>
          <w:tcPr>
            <w:tcW w:w="24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61,300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61,100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61,300</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Contingent consideration liability</w:t>
            </w:r>
          </w:p>
        </w:tc>
        <w:tc>
          <w:tcPr>
            <w:tcW w:w="24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The following table reflects the fair value roll forward reconciliation of Level 3 assets and liabilities measured at fair value for the six months ended November 24,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Contingent</w:t>
            </w: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Windset Investment</w:t>
            </w:r>
          </w:p>
        </w:tc>
        <w:tc>
          <w:tcPr>
            <w:tcW w:w="1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w w:val="94"/>
              </w:rPr>
              <w:t>Consideration Liability</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May 26,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Fair value change</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November 24,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The Company follows the five step, principles-based model to recognize revenue upon the transfer of promised goods or services to customers and in an amount that reflects the consideration for which the Company expects to be entitled in exchange for those goods or services. Revenue, net of estimated allowances and returns, is recognized when the Company has completed its performance obligations under a contract and control of the product is transferred to the customer. Substantially all revenue is recognized at the time shipment is made or upon delivery as control of the product is transferred to the customer. Revenue for development service contracts are generally recognized based upon the labor hours expended relative to the total expected hours as a measure of progress to depict transfer of control of the service over time. The services are not distinct and are accounted for as a single performance obligation for each customer.</w:t>
      </w:r>
    </w:p>
    <w:p>
      <w:pPr>
        <w:spacing w:after="0" w:line="149"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For descriptions of the Company’s product offerings and segments refer to Note 10 – Business Segment Reporting in our annual report on Form 10-K for the year ended May 26, 2019.</w:t>
      </w:r>
    </w:p>
    <w:p>
      <w:pPr>
        <w:spacing w:after="0" w:line="130" w:lineRule="exact"/>
        <w:rPr>
          <w:sz w:val="20"/>
          <w:szCs w:val="20"/>
          <w:color w:val="auto"/>
        </w:rPr>
      </w:pPr>
    </w:p>
    <w:p>
      <w:pPr>
        <w:jc w:val="both"/>
        <w:ind w:firstLine="783"/>
        <w:spacing w:after="0" w:line="272" w:lineRule="auto"/>
        <w:rPr>
          <w:sz w:val="20"/>
          <w:szCs w:val="20"/>
          <w:color w:val="auto"/>
        </w:rPr>
      </w:pPr>
      <w:r>
        <w:rPr>
          <w:rFonts w:ascii="Arial" w:cs="Arial" w:eastAsia="Arial" w:hAnsi="Arial"/>
          <w:sz w:val="17"/>
          <w:szCs w:val="17"/>
          <w:color w:val="auto"/>
        </w:rPr>
        <w:t>The Company’s standard terms of sale are included in its contracts, purchase orders, and invoices. As such, all revenue is considered revenue recognized from contracts with customers. Shipping and other transportation costs charged to customers are recorded in both revenue and cost of goods sold. The Company has elected to account for shipping and handling as fulfillment activities, and not a separate performance obligation. The Company’s standard payment terms with its customers range from 30 days to 90 days. Certain customers may receive cash-based incentives (including: volume rebates, discounts, and slotting fees), which are accounted for as variable consideration to the Company’s performance obligations. The Company estimates these sales incentives based on the expected amount to be provided to its customers and reduces revenues recognized towards its performance obligations. The Company does not anticipate significant changes in its estimates for variable consideration.</w:t>
      </w:r>
    </w:p>
    <w:p>
      <w:pPr>
        <w:spacing w:after="0" w:line="137" w:lineRule="exact"/>
        <w:rPr>
          <w:sz w:val="20"/>
          <w:szCs w:val="20"/>
          <w:color w:val="auto"/>
        </w:rPr>
      </w:pPr>
    </w:p>
    <w:p>
      <w:pPr>
        <w:jc w:val="both"/>
        <w:ind w:firstLine="783"/>
        <w:spacing w:after="0" w:line="279" w:lineRule="auto"/>
        <w:rPr>
          <w:sz w:val="20"/>
          <w:szCs w:val="20"/>
          <w:color w:val="auto"/>
        </w:rPr>
      </w:pPr>
      <w:r>
        <w:rPr>
          <w:rFonts w:ascii="Arial" w:cs="Arial" w:eastAsia="Arial" w:hAnsi="Arial"/>
          <w:sz w:val="17"/>
          <w:szCs w:val="17"/>
          <w:color w:val="auto"/>
        </w:rPr>
        <w:t>Occasionally, the Company enters into bill-and-hold arrangements, where it invoices the customer for products even though it retains possession of the products until a point-in-time in the future when the products will be shipped to the customer. In these contracts, the primary performance obligation is satisfied, and revenue is generally recognized, at a point-in-time when the product is segregated from the Company’s general inventory, it's ready for shipment to the customer, and the Company does not have the ability to use the product or re-deploy it to another customer.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disaggregates its revenue by segment product lines based on how it markets its products and reviews results of operations. The following tables disaggregate segment revenue by major product lines: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3640" w:type="dxa"/>
            <w:vAlign w:val="bottom"/>
            <w:gridSpan w:val="5"/>
          </w:tcPr>
          <w:p>
            <w:pPr>
              <w:ind w:left="9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3500" w:type="dxa"/>
            <w:vAlign w:val="bottom"/>
            <w:gridSpan w:val="4"/>
          </w:tcPr>
          <w:p>
            <w:pPr>
              <w:jc w:val="right"/>
              <w:ind w:right="11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Curation Foods:</w:t>
            </w:r>
          </w:p>
        </w:tc>
        <w:tc>
          <w:tcPr>
            <w:tcW w:w="240" w:type="dxa"/>
            <w:vAlign w:val="bottom"/>
          </w:tcPr>
          <w:p>
            <w:pPr>
              <w:spacing w:after="0"/>
              <w:rPr>
                <w:sz w:val="19"/>
                <w:szCs w:val="19"/>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November 24,</w:t>
            </w:r>
          </w:p>
        </w:tc>
        <w:tc>
          <w:tcPr>
            <w:tcW w:w="240" w:type="dxa"/>
            <w:vAlign w:val="bottom"/>
          </w:tcPr>
          <w:p>
            <w:pPr>
              <w:spacing w:after="0"/>
              <w:rPr>
                <w:sz w:val="19"/>
                <w:szCs w:val="19"/>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November 25,</w:t>
            </w:r>
          </w:p>
        </w:tc>
        <w:tc>
          <w:tcPr>
            <w:tcW w:w="260" w:type="dxa"/>
            <w:vAlign w:val="bottom"/>
          </w:tcPr>
          <w:p>
            <w:pPr>
              <w:spacing w:after="0"/>
              <w:rPr>
                <w:sz w:val="19"/>
                <w:szCs w:val="19"/>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November 24,</w:t>
            </w:r>
          </w:p>
        </w:tc>
        <w:tc>
          <w:tcPr>
            <w:tcW w:w="240" w:type="dxa"/>
            <w:vAlign w:val="bottom"/>
          </w:tcPr>
          <w:p>
            <w:pPr>
              <w:spacing w:after="0"/>
              <w:rPr>
                <w:sz w:val="19"/>
                <w:szCs w:val="19"/>
                <w:color w:val="auto"/>
              </w:rPr>
            </w:pPr>
          </w:p>
        </w:tc>
        <w:tc>
          <w:tcPr>
            <w:tcW w:w="1580" w:type="dxa"/>
            <w:vAlign w:val="bottom"/>
          </w:tcPr>
          <w:p>
            <w:pPr>
              <w:jc w:val="center"/>
              <w:ind w:right="190"/>
              <w:spacing w:after="0"/>
              <w:rPr>
                <w:sz w:val="20"/>
                <w:szCs w:val="20"/>
                <w:color w:val="auto"/>
              </w:rPr>
            </w:pPr>
            <w:r>
              <w:rPr>
                <w:rFonts w:ascii="Arial" w:cs="Arial" w:eastAsia="Arial" w:hAnsi="Arial"/>
                <w:sz w:val="18"/>
                <w:szCs w:val="18"/>
                <w:color w:val="auto"/>
                <w:w w:val="90"/>
              </w:rPr>
              <w:t>November 25,</w:t>
            </w:r>
          </w:p>
        </w:tc>
        <w:tc>
          <w:tcPr>
            <w:tcW w:w="0" w:type="dxa"/>
            <w:vAlign w:val="bottom"/>
          </w:tcPr>
          <w:p>
            <w:pPr>
              <w:spacing w:after="0"/>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91,030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Core vegetables</w:t>
            </w: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56,286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64,492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113,634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126,242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Emerging brands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57"/>
        </w:trPr>
        <w:tc>
          <w:tcPr>
            <w:tcW w:w="378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119,751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109,111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246,424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221,162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40" w:type="dxa"/>
            <w:vAlign w:val="bottom"/>
            <w:gridSpan w:val="5"/>
          </w:tcPr>
          <w:p>
            <w:pPr>
              <w:ind w:left="9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3500" w:type="dxa"/>
            <w:vAlign w:val="bottom"/>
            <w:gridSpan w:val="4"/>
          </w:tcPr>
          <w:p>
            <w:pPr>
              <w:jc w:val="right"/>
              <w:ind w:right="11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Lifecore:</w:t>
            </w:r>
          </w:p>
        </w:tc>
        <w:tc>
          <w:tcPr>
            <w:tcW w:w="240" w:type="dxa"/>
            <w:vAlign w:val="bottom"/>
          </w:tcPr>
          <w:p>
            <w:pPr>
              <w:spacing w:after="0"/>
              <w:rPr>
                <w:sz w:val="19"/>
                <w:szCs w:val="19"/>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November 24,</w:t>
            </w:r>
          </w:p>
        </w:tc>
        <w:tc>
          <w:tcPr>
            <w:tcW w:w="240" w:type="dxa"/>
            <w:vAlign w:val="bottom"/>
          </w:tcPr>
          <w:p>
            <w:pPr>
              <w:spacing w:after="0"/>
              <w:rPr>
                <w:sz w:val="19"/>
                <w:szCs w:val="19"/>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November 25,</w:t>
            </w:r>
          </w:p>
        </w:tc>
        <w:tc>
          <w:tcPr>
            <w:tcW w:w="260" w:type="dxa"/>
            <w:vAlign w:val="bottom"/>
          </w:tcPr>
          <w:p>
            <w:pPr>
              <w:spacing w:after="0"/>
              <w:rPr>
                <w:sz w:val="19"/>
                <w:szCs w:val="19"/>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November 24,</w:t>
            </w:r>
          </w:p>
        </w:tc>
        <w:tc>
          <w:tcPr>
            <w:tcW w:w="240" w:type="dxa"/>
            <w:vAlign w:val="bottom"/>
          </w:tcPr>
          <w:p>
            <w:pPr>
              <w:spacing w:after="0"/>
              <w:rPr>
                <w:sz w:val="19"/>
                <w:szCs w:val="19"/>
                <w:color w:val="auto"/>
              </w:rPr>
            </w:pPr>
          </w:p>
        </w:tc>
        <w:tc>
          <w:tcPr>
            <w:tcW w:w="1580" w:type="dxa"/>
            <w:vAlign w:val="bottom"/>
          </w:tcPr>
          <w:p>
            <w:pPr>
              <w:jc w:val="center"/>
              <w:ind w:right="190"/>
              <w:spacing w:after="0"/>
              <w:rPr>
                <w:sz w:val="20"/>
                <w:szCs w:val="20"/>
                <w:color w:val="auto"/>
              </w:rPr>
            </w:pPr>
            <w:r>
              <w:rPr>
                <w:rFonts w:ascii="Arial" w:cs="Arial" w:eastAsia="Arial" w:hAnsi="Arial"/>
                <w:sz w:val="18"/>
                <w:szCs w:val="18"/>
                <w:color w:val="auto"/>
                <w:w w:val="90"/>
              </w:rPr>
              <w:t>November 25,</w:t>
            </w:r>
          </w:p>
        </w:tc>
        <w:tc>
          <w:tcPr>
            <w:tcW w:w="0" w:type="dxa"/>
            <w:vAlign w:val="bottom"/>
          </w:tcPr>
          <w:p>
            <w:pPr>
              <w:spacing w:after="0"/>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Aseptic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Fermentation</w:t>
            </w: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5,769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services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57"/>
        </w:trPr>
        <w:tc>
          <w:tcPr>
            <w:tcW w:w="378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22,842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15,446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34,883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28,063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189"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Contract assets primarily relate to the Company’s conditional right to consideration for work completed but not billed at the reporting date. The Company’s contract assets as of November 24, 2019 and May 26, 2019 were $8.8 million and $5.6 million, respectively.</w:t>
      </w:r>
    </w:p>
    <w:p>
      <w:pPr>
        <w:spacing w:after="0" w:line="130"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Contract liabilities primarily relate to payments received from customers in advance of performance under the contract. The Company’s contract liabilities as of November 24, 2019 and May 26, 2019 were $0.3 million and $0.2 million, respectively. Revenue recognized during the three and six months ended November 24, 2019 that was included in the contract liability balance at the beginning of fiscal year 2020 were $0.1 million and $0.2 million,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89"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Shipping and handling costs are incurred to move the Company’s products from production and storage facilities to the customer. Handling costs are incurred from the point the product is segregated from the Company’s general inventory until it is provided to the shipper and generally include costs to store, move and prepare the products for shipment. The cost of shipping and handling services is recognized in Cost of product sales. When the costs of shipping and handling are passed on to a customer, the related amount is recorded in revenue.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the ordinary course of business, the Company is involved in various legal proceedings and claims.</w:t>
      </w:r>
    </w:p>
    <w:p>
      <w:pPr>
        <w:spacing w:after="0" w:line="185"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Company makes a provision for a liability relating to legal matters when it is both probable that a liability has been incurred and the amount of the loss can be reasonably estimated. These provisions are reviewed at least each fiscal quarter and adjusted to reflect the impacts of negotiations, estimate settlements, legal rulings, advice of legal counsel and other information and events pertaining to a particular matter. Legal fees are expensed in the period in which they are incurred.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Unfair Labor Practices</w:t>
      </w:r>
    </w:p>
    <w:p>
      <w:pPr>
        <w:spacing w:after="0" w:line="185" w:lineRule="exact"/>
        <w:rPr>
          <w:sz w:val="20"/>
          <w:szCs w:val="20"/>
          <w:color w:val="auto"/>
        </w:rPr>
      </w:pPr>
    </w:p>
    <w:p>
      <w:pPr>
        <w:jc w:val="both"/>
        <w:ind w:firstLine="783"/>
        <w:spacing w:after="0" w:line="302" w:lineRule="auto"/>
        <w:rPr>
          <w:sz w:val="20"/>
          <w:szCs w:val="20"/>
          <w:color w:val="auto"/>
        </w:rPr>
      </w:pPr>
      <w:r>
        <w:rPr>
          <w:rFonts w:ascii="Arial" w:cs="Arial" w:eastAsia="Arial" w:hAnsi="Arial"/>
          <w:sz w:val="16"/>
          <w:szCs w:val="16"/>
          <w:color w:val="auto"/>
        </w:rPr>
        <w:t>Curation Foods has been the target of a union organizing campaign which has included three unsuccessful attempts to unionize Curation Foods' Guadalupe, California processing plant. The campaign has involved a union and over 100 former and current employees of Pacific Harvest, Inc. and Rancho Harvest, Inc. (collectively "Pacific Harvest"), Curation Foods' labor contractors at its Guadalupe, California processing facility, bringing legal actions before various state and federal agencies, the California Superior Court, and initiating over 100 individual arbitrations against Curation Foods and Pacific Harvest.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legal actions consisted of three main types of claims: (1) Unfair Labor Practice claims ("ULPs") before the National Labor Relations Board (“NLRB”), (2) discrimination/wrongful termination claims before state and federal agencies and in individual arbitrations, and (3) wage and hour claims as part of two Private Attorney General Act (“PAGA”) cases in state court and in over 100 individual arbitrations.</w:t>
      </w:r>
    </w:p>
    <w:p>
      <w:pPr>
        <w:spacing w:after="0" w:line="141" w:lineRule="exact"/>
        <w:rPr>
          <w:sz w:val="20"/>
          <w:szCs w:val="20"/>
          <w:color w:val="auto"/>
        </w:rPr>
      </w:pPr>
    </w:p>
    <w:p>
      <w:pPr>
        <w:jc w:val="both"/>
        <w:ind w:firstLine="783"/>
        <w:spacing w:after="0" w:line="269" w:lineRule="auto"/>
        <w:rPr>
          <w:sz w:val="20"/>
          <w:szCs w:val="20"/>
          <w:color w:val="auto"/>
        </w:rPr>
      </w:pPr>
      <w:r>
        <w:rPr>
          <w:rFonts w:ascii="Arial" w:cs="Arial" w:eastAsia="Arial" w:hAnsi="Arial"/>
          <w:sz w:val="17"/>
          <w:szCs w:val="17"/>
          <w:color w:val="auto"/>
        </w:rPr>
        <w:t>The ULP claims were settled in fiscal year 2017 for $0.3 million. Curation Foods was responsible for half of this settlement, or $0.2 million. On May 5, 2017, the parties to the remaining actions executed a Settlement Agreement concerning the discrimination/wrongful termination claims and the wage and hour claims which covers all non-exempt employees of Pacific Harvest working at Curation Foods' Guadalupe, California processing facility from September 2011 through the settlement date. Under the Settlement Agreement, the plaintiffs were paid $6.0 million in three installments: $2.4 million of which was paid in July 2017, $1.8 million of which was paid in November 2017 and $1.8 million of which was paid in July 2018, representing the final payment due under the settlement agreement. The Company and Pacific Harvest have each agreed to pay one half of the settlement payments. The Company paid the entire first two installments of $4.2 million and Pacific Harvest agreed to reimburse the Company for its $2.1 million portion. As of November 24, 2019, the outstanding balance of the receivable was $1.2 million. The Company makes ongoing estimates relating to the collectability of receivables. A reserve is established for any note when there is reasonable doubt that the principal or interest will be collected in full. The Company may write-off uncollectable receivables after collection efforts are exhausted. During the second quarter of fiscal 2020, the Company's quarterly review for collectability concluded that a receivable reserve of $1.2 million would be recorded. This was due to delinquency in the payment schedule that changed the Company's conclusion.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Matters</w:t>
      </w:r>
    </w:p>
    <w:p>
      <w:pPr>
        <w:spacing w:after="0" w:line="185" w:lineRule="exact"/>
        <w:rPr>
          <w:sz w:val="20"/>
          <w:szCs w:val="20"/>
          <w:color w:val="auto"/>
        </w:rPr>
      </w:pPr>
    </w:p>
    <w:p>
      <w:pPr>
        <w:jc w:val="both"/>
        <w:ind w:firstLine="783"/>
        <w:spacing w:after="0" w:line="308" w:lineRule="auto"/>
        <w:rPr>
          <w:sz w:val="20"/>
          <w:szCs w:val="20"/>
          <w:color w:val="auto"/>
        </w:rPr>
      </w:pPr>
      <w:r>
        <w:rPr>
          <w:rFonts w:ascii="Arial" w:cs="Arial" w:eastAsia="Arial" w:hAnsi="Arial"/>
          <w:sz w:val="17"/>
          <w:szCs w:val="17"/>
          <w:color w:val="auto"/>
        </w:rPr>
        <w:t>As previously disclosed, on December 1, 2018, the Company acquired all of the voting interests and substantially all of the assets of Yucatan Foods (the “Yucatan Acquisition”), which owns a guacamole manufacturing plant in Mexico called Procesadora Tanok, S de RL de C.V. (“Tanok”).</w:t>
      </w:r>
    </w:p>
    <w:p>
      <w:pPr>
        <w:spacing w:after="0" w:line="106" w:lineRule="exact"/>
        <w:rPr>
          <w:sz w:val="20"/>
          <w:szCs w:val="20"/>
          <w:color w:val="auto"/>
        </w:rPr>
      </w:pPr>
    </w:p>
    <w:p>
      <w:pPr>
        <w:jc w:val="both"/>
        <w:ind w:firstLine="783"/>
        <w:spacing w:after="0" w:line="253" w:lineRule="auto"/>
        <w:rPr>
          <w:sz w:val="20"/>
          <w:szCs w:val="20"/>
          <w:color w:val="auto"/>
        </w:rPr>
      </w:pPr>
      <w:r>
        <w:rPr>
          <w:rFonts w:ascii="Arial" w:cs="Arial" w:eastAsia="Arial" w:hAnsi="Arial"/>
          <w:sz w:val="18"/>
          <w:szCs w:val="18"/>
          <w:color w:val="auto"/>
        </w:rPr>
        <w:t>On October 21, 2019, the Company retained Latham &amp; Watkins, LLP to conduct an internal investigation relating to potential environmental and Foreign Corrupt Practices Act (“FCPA”) compliance matters associated with regulatory permitting at the Tanok facility in Mexico. The Company subsequently disclosed to the U.S. Securities and Exchange Commission (“SEC”) and the U.S. Department of Justice (“DOJ”) the conduct under investigation, and these agencies have commenced an investigation. The Company is cooperating in the government investigations. The conduct at issue began prior to the Yucatan Acquisition, and the agreement for the Yucatan Acquisition provides the Company with certain indemnification rights that may allow the Company to recover the cost of all or a portion of the liabilities that have been and may be incurred by the Company in connection with these compliance matters. With these indemnification rights, we do not believe that the effects of these compliance matters will have a material impact on the financial statements. However, at this stage, the ultimate outcome of these or any other investigations or potential claims that may arise from the matters under investigation is uncertain and we cannot reasonably predict the timing or outcomes, or estimate the amount of loss, if any, or their effect, if any, on our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Adopted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ind w:firstLine="783"/>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companies to generally recognize on the balance sheet operating and financing lease liabilities and corresponding right-of-use-assets. Effective May 27, 2019, the Company adopted the ASU on a modified retrospective basis. Prior period amounts were not adjusted and continue to be reported in accordance with historical accounting policies under ASC</w:t>
      </w:r>
    </w:p>
    <w:p>
      <w:pPr>
        <w:jc w:val="both"/>
        <w:ind w:firstLine="8"/>
        <w:spacing w:after="0" w:line="255" w:lineRule="auto"/>
        <w:tabs>
          <w:tab w:leader="none" w:pos="378"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(Topic 840). The Company elected the package of practical expedients under which the Company has not reassessed prior conclusions about</w:t>
      </w:r>
      <w:r>
        <w:rPr>
          <w:rFonts w:ascii="Arial" w:cs="Arial" w:eastAsia="Arial" w:hAnsi="Arial"/>
          <w:sz w:val="18"/>
          <w:szCs w:val="18"/>
          <w:i w:val="1"/>
          <w:iCs w:val="1"/>
          <w:color w:val="auto"/>
        </w:rPr>
        <w:t xml:space="preserve"> </w:t>
      </w:r>
      <w:r>
        <w:rPr>
          <w:rFonts w:ascii="Arial" w:cs="Arial" w:eastAsia="Arial" w:hAnsi="Arial"/>
          <w:sz w:val="18"/>
          <w:szCs w:val="18"/>
          <w:color w:val="auto"/>
        </w:rPr>
        <w:t>lease classification and initial direct costs. The Company elected the hindsight expedient to evaluate lease terms, and made a policy election that does not recognize right-of-use assets and lease liabilities related to short-term leases.</w:t>
      </w:r>
    </w:p>
    <w:p>
      <w:pPr>
        <w:spacing w:after="0" w:line="150" w:lineRule="exact"/>
        <w:rPr>
          <w:sz w:val="20"/>
          <w:szCs w:val="20"/>
          <w:color w:val="auto"/>
        </w:rPr>
      </w:pPr>
    </w:p>
    <w:p>
      <w:pPr>
        <w:jc w:val="both"/>
        <w:ind w:firstLine="783"/>
        <w:spacing w:after="0" w:line="257" w:lineRule="auto"/>
        <w:rPr>
          <w:sz w:val="20"/>
          <w:szCs w:val="20"/>
          <w:color w:val="auto"/>
        </w:rPr>
      </w:pPr>
      <w:r>
        <w:rPr>
          <w:rFonts w:ascii="Arial" w:cs="Arial" w:eastAsia="Arial" w:hAnsi="Arial"/>
          <w:sz w:val="18"/>
          <w:szCs w:val="18"/>
          <w:color w:val="auto"/>
        </w:rPr>
        <w:t>Upon adoption of ASU 2016-02, the Company recorded a transitional adjustment of $0.3 million to opening retained earnings to write off the difference in deferred rent balances from prior periods for operating leases with non-level rent. The difference arises from recalculation of deferred rent after applying updated lease terms as a result of applying hindsight. Additionally, the adoption of the standard had a significant impact in the condensed consolidated balance sheet where at the time of the adoption at the beginning of fiscal year 2020, the Company recorded $31.1 million of operating lease liabilities, along with $30.0 million of operating lease right-of-use assets.</w:t>
      </w:r>
    </w:p>
    <w:p>
      <w:pPr>
        <w:spacing w:after="0" w:line="148"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This change had no impact on the Company’s ability to meet its loan covenants as the impact from the adoption of ASU 2016-02 was taken into consideration when determining its loan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Pronouncements to be Adopted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85" w:lineRule="exact"/>
        <w:rPr>
          <w:sz w:val="20"/>
          <w:szCs w:val="20"/>
          <w:color w:val="auto"/>
        </w:rPr>
      </w:pPr>
    </w:p>
    <w:p>
      <w:pPr>
        <w:jc w:val="both"/>
        <w:ind w:firstLine="783"/>
        <w:spacing w:after="0" w:line="29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is a Service Contract </w:t>
      </w:r>
      <w:r>
        <w:rPr>
          <w:rFonts w:ascii="Arial" w:cs="Arial" w:eastAsia="Arial" w:hAnsi="Arial"/>
          <w:sz w:val="16"/>
          <w:szCs w:val="16"/>
          <w:color w:val="auto"/>
        </w:rPr>
        <w:t>("ASU 2018-15"), which requires a customer in a cloud computing arrangement that is a service contract to follow the internal-use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guidance in Accounting Standards Codification 350-40 to determine which implementation costs to defer and recognize as an asset. The Accounting Standards Update generally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ASU 2018-15 is effective for fiscal years, and interim periods within those fiscal years, beginning after December 15, 2019. Early application is permitted. The Company is currently assessing the future impact of this update on its consolidated financial statements and related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85"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the Disclosure Requirements for Fair Value Measurement</w:t>
      </w:r>
      <w:r>
        <w:rPr>
          <w:rFonts w:ascii="Arial" w:cs="Arial" w:eastAsia="Arial" w:hAnsi="Arial"/>
          <w:sz w:val="18"/>
          <w:szCs w:val="18"/>
          <w:color w:val="auto"/>
        </w:rPr>
        <w:t xml:space="preserve"> ("ASU 2018-13"). The guidance eliminates, adds and modifies certain disclosure requirements for fair value measurements. Entities will no longer have to disclose the amount of and reasons for transfers between Level 1 and Level 2 of the fair value hierarchy, but will be required to disclose the range and weighted average used to develop significant unobservable inputs for Level 3 fair value measurements. ASU 2018-13 is effective for fiscal years, and interim periods within those fiscal years, beginning after December 15, 2019. The Company is currently assessing the future impact of this update on its consolidated financial statements and related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85" w:lineRule="exact"/>
        <w:rPr>
          <w:sz w:val="20"/>
          <w:szCs w:val="20"/>
          <w:color w:val="auto"/>
        </w:rPr>
      </w:pPr>
    </w:p>
    <w:p>
      <w:pPr>
        <w:jc w:val="both"/>
        <w:ind w:firstLine="783"/>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requires the measurement of all expected credit losses for financial assets including trade receivables held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date based on historical experience, current conditions, and reasonable and supportable forecasts. ASU 2016-13 is effective for fiscal years, and interim periods within those fiscal years, beginning after December 15, 2019. The Company is currently assessing the future impact of this update on its consolidated financial statements and related disclosures.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783"/>
        <w:spacing w:after="0" w:line="257" w:lineRule="auto"/>
        <w:rPr>
          <w:sz w:val="20"/>
          <w:szCs w:val="20"/>
          <w:color w:val="auto"/>
        </w:rPr>
      </w:pPr>
      <w:r>
        <w:rPr>
          <w:rFonts w:ascii="Arial" w:cs="Arial" w:eastAsia="Arial" w:hAnsi="Arial"/>
          <w:sz w:val="18"/>
          <w:szCs w:val="18"/>
          <w:color w:val="auto"/>
        </w:rPr>
        <w:t xml:space="preserve">In April 2019, the FASB issued </w:t>
      </w:r>
      <w:r>
        <w:rPr>
          <w:rFonts w:ascii="Arial" w:cs="Arial" w:eastAsia="Arial" w:hAnsi="Arial"/>
          <w:sz w:val="18"/>
          <w:szCs w:val="18"/>
          <w:i w:val="1"/>
          <w:iCs w:val="1"/>
          <w:color w:val="auto"/>
        </w:rPr>
        <w:t>ASU 2019-04, Codification Improvements to Topic 326, Financial Instruments-Credit Losses, and Topic 825,</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provides practical expedients and policy elections related to the presentation and disclosure of accrued interest and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credit losses and clarifies how to disclose line-of-credit arrangements that are converted to term loans. ASU 2019-04 is effective for fiscal years, and interim periods within those fiscal years, beginning after December 15, 2019. The Company is currently assessing the future impact of this update on its consolidated financial statements and related disclosures.</w:t>
      </w:r>
    </w:p>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Yucatan Foods Acquisition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 2018, (the "Acquisition Date") the Company acquired all of the voting interests and substantially all of the assets of Yucatan Foods, a manufacturer and seller of avocado-based food products. The total consideration paid to acquire Yucatan Foods was $75.0 million, consisting of $59.9 million in cash and 1,203,360 shares of common stock (“Stock Consideration”) with a fair value of $15.1 million. The fair value of the Stock Consideration is based on a per-share value of the Company’s common stock on the Acquisition Date. Given that the Sellers are restricted from selling the Landec common stock, a discount for lack of marketability was applied to the Stock Consideration. The discount for lack of marketability was based on restricted stock studies, pre-IPO studies, and utilizing the Black-Scholes option pricing model to estimate a discount of 17.5% and 20.0% for the 3-year and 4-year lockup period, respectively.</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the terms of the purchase agreement, all 1,203,360 shares issued as Stock Consideration will be held in an escrow account to secure the indemnification rights of Landec with respect to certain matters, including breaches of representations, warranties and covenants such as environmental and tax representations. The Stock Consideration is comprised of two tranches, with 3-year and 4-year lock-up provisions, respectively, such that 50% of the Stock Consideration is released from lock-up on November 30, 2021, the 3-year anniversary of the close date of the transaction, and 50% of the Stock Consideration is released on November 30, 2022, the 4-year anniversary of the close date of the transaction.</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Yucatan Foods, founded in 1991, with its headquarters in Los Angeles, California, produces and sells guacamole and other avocado products under its Yucatan and Cabo Fresh brands primarily in the U.S. and Canada. Yucatan Foods' production facility is located in Guanajuato, Mexico, very near where avocados are grown. Landec acquired Yucatan Foods to grow, strengthen, and stabilize its position in the natural foods market and to improve Curation Foods' margins over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acquisition, Yucatan Foods became a wholly-owned subsidiary of Curation Foods. The Acquisition Date fair value of the consideration paid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6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w:t>
            </w:r>
          </w:p>
        </w:tc>
        <w:tc>
          <w:tcPr>
            <w:tcW w:w="6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59,898</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Stock consideration</w:t>
            </w:r>
          </w:p>
        </w:tc>
        <w:tc>
          <w:tcPr>
            <w:tcW w:w="6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spacing w:after="0"/>
              <w:rPr>
                <w:sz w:val="22"/>
                <w:szCs w:val="22"/>
                <w:color w:val="auto"/>
              </w:rPr>
            </w:pPr>
          </w:p>
        </w:tc>
        <w:tc>
          <w:tcPr>
            <w:tcW w:w="69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74,966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Arial" w:cs="Arial" w:eastAsia="Arial" w:hAnsi="Arial"/>
                <w:sz w:val="18"/>
                <w:szCs w:val="18"/>
                <w:color w:val="auto"/>
              </w:rPr>
              <w:t>-15-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2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excess of the purchase price over the aggregate fair value of identifiable net assets acquired was recorded as goodwill. These preliminary fair values of the assets acquired and the liabilities assumed were determined through established and generally accepted valuation techniques and were subject to change during the measurement period as valuations were finalized. During the fourth quarter of fiscal 2019, the Company recorded measurement period adjustments to deferred income taxes of $1.7 million and indemnification provisions for environmental related items of $0.7 million, resulting in an increase to goodwill of $1.0 million. During the second quarter of fiscal 2020, the Company recorded measurement period adjustments to deferred income taxes of $0.5 million, resulting in an increase to goodwill of $0.5 million. During the second quarter of fiscal 2020, the Company completed the acquisition accounting for the Yucatan Foods acquisition. The following is a summary of the amounts recognized in accounting for the Yucatan Foods acquisition: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6,310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14,083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Trademarks/tradenames</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11,000</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Net identifiable assets acquired</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52,231</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22,735</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fair value purchase consideration</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74,966</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identified two intangible assets in connection with the Yucatan Foods acquisition: trademark/tradenames valued at $15.9 million and customer relationships valued at $11.0 million, which are included within Trademarks/tradenames and Customer relationships in the accompanying Consolidated Balance Sheets, respectively. Tradenames are considered to be an indefinite lived asset and therefore, will not be amortized. Customer relationships have an estimated useful life of 12 years and will be amortized to operating expenses on an accelerated basis that reflects the pattern in which the economic benefits are consumed. The tradenames are valued using the relief from royalty valuation method and the customer relationships are valued using the excess earnings method.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The goodwill recognized from the Yucatan Foods acquisition is primarily attributable to Yucatan Foods' long history and expected synergies from future growth and expansion of our Curation Foods business segment. Approximately 80% of the goodwill is expected to be deductible for income tax purposes. The Company will test goodwill for impairment on an annual basis, or sooner if indicators of impairment are present.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Acquisition</w:t>
      </w:r>
    </w:p>
    <w:p>
      <w:pPr>
        <w:spacing w:after="0" w:line="23" w:lineRule="exact"/>
        <w:rPr>
          <w:sz w:val="20"/>
          <w:szCs w:val="20"/>
          <w:color w:val="auto"/>
        </w:rPr>
      </w:pPr>
    </w:p>
    <w:p>
      <w:pPr>
        <w:jc w:val="both"/>
        <w:ind w:right="20" w:firstLine="783"/>
        <w:spacing w:after="0" w:line="261" w:lineRule="auto"/>
        <w:rPr>
          <w:sz w:val="20"/>
          <w:szCs w:val="20"/>
          <w:color w:val="auto"/>
        </w:rPr>
      </w:pPr>
      <w:r>
        <w:rPr>
          <w:rFonts w:ascii="Arial" w:cs="Arial" w:eastAsia="Arial" w:hAnsi="Arial"/>
          <w:sz w:val="18"/>
          <w:szCs w:val="18"/>
          <w:color w:val="auto"/>
        </w:rPr>
        <w:t xml:space="preserve">On March 1, 2017, the Company purchased substantially all of the assets of </w:t>
      </w:r>
      <w:r>
        <w:rPr>
          <w:rFonts w:ascii="Arial" w:cs="Arial" w:eastAsia="Arial" w:hAnsi="Arial"/>
          <w:sz w:val="18"/>
          <w:szCs w:val="18"/>
          <w:i w:val="1"/>
          <w:iCs w:val="1"/>
          <w:color w:val="auto"/>
        </w:rPr>
        <w:t>O</w:t>
      </w:r>
      <w:r>
        <w:rPr>
          <w:rFonts w:ascii="Arial" w:cs="Arial" w:eastAsia="Arial" w:hAnsi="Arial"/>
          <w:sz w:val="18"/>
          <w:szCs w:val="18"/>
          <w:color w:val="auto"/>
        </w:rPr>
        <w:t xml:space="preserve"> for $2.5 million in cash plus contingent consideration of up to $7.5 million based upon </w:t>
      </w:r>
      <w:r>
        <w:rPr>
          <w:rFonts w:ascii="Arial" w:cs="Arial" w:eastAsia="Arial" w:hAnsi="Arial"/>
          <w:sz w:val="18"/>
          <w:szCs w:val="18"/>
          <w:i w:val="1"/>
          <w:iCs w:val="1"/>
          <w:color w:val="auto"/>
        </w:rPr>
        <w:t>O</w:t>
      </w:r>
      <w:r>
        <w:rPr>
          <w:rFonts w:ascii="Arial" w:cs="Arial" w:eastAsia="Arial" w:hAnsi="Arial"/>
          <w:sz w:val="18"/>
          <w:szCs w:val="18"/>
          <w:color w:val="auto"/>
        </w:rPr>
        <w:t xml:space="preserve"> achieving certain EBITDA targets. All accounting for this acquisition is final.</w:t>
      </w:r>
    </w:p>
    <w:p>
      <w:pPr>
        <w:spacing w:after="0" w:line="143" w:lineRule="exact"/>
        <w:rPr>
          <w:sz w:val="20"/>
          <w:szCs w:val="20"/>
          <w:color w:val="auto"/>
        </w:rPr>
      </w:pPr>
    </w:p>
    <w:p>
      <w:pPr>
        <w:jc w:val="both"/>
        <w:ind w:firstLine="783"/>
        <w:spacing w:after="0" w:line="297" w:lineRule="auto"/>
        <w:rPr>
          <w:sz w:val="20"/>
          <w:szCs w:val="20"/>
          <w:color w:val="auto"/>
        </w:rPr>
      </w:pPr>
      <w:r>
        <w:rPr>
          <w:rFonts w:ascii="Arial" w:cs="Arial" w:eastAsia="Arial" w:hAnsi="Arial"/>
          <w:sz w:val="16"/>
          <w:szCs w:val="16"/>
          <w:color w:val="auto"/>
        </w:rPr>
        <w:t xml:space="preserve">The potential earn out payment of up to $7.5 million is based on </w:t>
      </w:r>
      <w:r>
        <w:rPr>
          <w:rFonts w:ascii="Arial" w:cs="Arial" w:eastAsia="Arial" w:hAnsi="Arial"/>
          <w:sz w:val="16"/>
          <w:szCs w:val="16"/>
          <w:i w:val="1"/>
          <w:iCs w:val="1"/>
          <w:color w:val="auto"/>
        </w:rPr>
        <w:t>O</w:t>
      </w:r>
      <w:r>
        <w:rPr>
          <w:rFonts w:ascii="Arial" w:cs="Arial" w:eastAsia="Arial" w:hAnsi="Arial"/>
          <w:sz w:val="16"/>
          <w:szCs w:val="16"/>
          <w:color w:val="auto"/>
        </w:rPr>
        <w:t xml:space="preserve">’s cumulative EBITDA over the Company’s fiscal years 2018 through 2020. At the end of each fiscal year, beginning in fiscal year 2018, the former owners of </w:t>
      </w:r>
      <w:r>
        <w:rPr>
          <w:rFonts w:ascii="Arial" w:cs="Arial" w:eastAsia="Arial" w:hAnsi="Arial"/>
          <w:sz w:val="16"/>
          <w:szCs w:val="16"/>
          <w:i w:val="1"/>
          <w:iCs w:val="1"/>
          <w:color w:val="auto"/>
        </w:rPr>
        <w:t>O</w:t>
      </w:r>
      <w:r>
        <w:rPr>
          <w:rFonts w:ascii="Arial" w:cs="Arial" w:eastAsia="Arial" w:hAnsi="Arial"/>
          <w:sz w:val="16"/>
          <w:szCs w:val="16"/>
          <w:color w:val="auto"/>
        </w:rPr>
        <w:t xml:space="preserve"> will earn the equivalent of the EBITDA achieved by </w:t>
      </w:r>
      <w:r>
        <w:rPr>
          <w:rFonts w:ascii="Arial" w:cs="Arial" w:eastAsia="Arial" w:hAnsi="Arial"/>
          <w:sz w:val="16"/>
          <w:szCs w:val="16"/>
          <w:i w:val="1"/>
          <w:iCs w:val="1"/>
          <w:color w:val="auto"/>
        </w:rPr>
        <w:t>O</w:t>
      </w:r>
      <w:r>
        <w:rPr>
          <w:rFonts w:ascii="Arial" w:cs="Arial" w:eastAsia="Arial" w:hAnsi="Arial"/>
          <w:sz w:val="16"/>
          <w:szCs w:val="16"/>
          <w:color w:val="auto"/>
        </w:rPr>
        <w:t xml:space="preserve"> for that fiscal year up to $4.6 million over the three year period. The former owners can then earn an additional $2.9 million on a dollar for dollar basis for exceeding $6.0 million of cumulative EBITDA over the three year period. Each quarter the Company performs an analysis of </w:t>
      </w:r>
      <w:r>
        <w:rPr>
          <w:rFonts w:ascii="Arial" w:cs="Arial" w:eastAsia="Arial" w:hAnsi="Arial"/>
          <w:sz w:val="16"/>
          <w:szCs w:val="16"/>
          <w:i w:val="1"/>
          <w:iCs w:val="1"/>
          <w:color w:val="auto"/>
        </w:rPr>
        <w:t>O</w:t>
      </w:r>
      <w:r>
        <w:rPr>
          <w:rFonts w:ascii="Arial" w:cs="Arial" w:eastAsia="Arial" w:hAnsi="Arial"/>
          <w:sz w:val="16"/>
          <w:szCs w:val="16"/>
          <w:color w:val="auto"/>
        </w:rPr>
        <w:t>’s projected EBITDA over the earnout period. Based on this analysis, the Company records a contingent consideration liability, included in Other accrued liabilities or Other non-current liabilities.</w:t>
      </w:r>
    </w:p>
    <w:p>
      <w:pPr>
        <w:spacing w:after="0" w:line="118" w:lineRule="exact"/>
        <w:rPr>
          <w:sz w:val="20"/>
          <w:szCs w:val="20"/>
          <w:color w:val="auto"/>
        </w:rPr>
      </w:pPr>
    </w:p>
    <w:p>
      <w:pPr>
        <w:jc w:val="both"/>
        <w:ind w:firstLine="783"/>
        <w:spacing w:after="0" w:line="312" w:lineRule="auto"/>
        <w:rPr>
          <w:sz w:val="20"/>
          <w:szCs w:val="20"/>
          <w:color w:val="auto"/>
        </w:rPr>
      </w:pPr>
      <w:r>
        <w:rPr>
          <w:rFonts w:ascii="Arial" w:cs="Arial" w:eastAsia="Arial" w:hAnsi="Arial"/>
          <w:sz w:val="16"/>
          <w:szCs w:val="16"/>
          <w:color w:val="auto"/>
        </w:rPr>
        <w:t>During the three months ended November 24, 2019 the Company estimated that no earn out would be earned under the agreement and therefore reversed the remaining $0.5 million of contingent liability and thus as of November 24, 2019, the Company did not record a contingent consideration liability. As of May 26, 2019, the contingent consideration liability was $0.5 million, representing the present value of the expected earn out payments.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Investment in Non-public Company</w:t>
      </w:r>
    </w:p>
    <w:p>
      <w:pPr>
        <w:spacing w:after="0" w:line="189"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On February 15, 2011, Curation Foods entered into a share purchase agreement (the “Windset Purchase Agreement”) with Windset. Pursuant to the Windset Purchase Agreement, Curation Foods purchased from Windset 150,000 Senior A preferred shares for $15.0 million and 201 common shares for $201. On July 15, 2014, Curation Foods increased its investment in Windset by purchasing from the Newell Capital Corporation an additional 68 common shares and 51,211 junior preferred shares of Windset for $11.0 million. After this purchase, the Company’s common shares represent a 26.9% ownership interest in Windset. The Senior A preferred shares yield a cash dividend of 7.5% annually. The dividend is payable within 90 days of each anniversary of the execution of the Windset Purchase Agreement. The non-voting junior preferred stock does not yield a dividend unless declared by the Board of Directors of Windset and no such dividend has been declared.</w:t>
      </w:r>
    </w:p>
    <w:p>
      <w:pPr>
        <w:spacing w:after="0" w:line="149"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The Shareholders’ Agreement between Curation Foods and Windset, as amended on March 15, 2017, includes a put and call option (the “Put and Call Option”), which can be exercised on or after March 31, 2022, whereby Curation Foods can exercise the put to sell its common, Senior A preferred shares, and junior preferred shares to Windset, or Windset can exercise the call to purchase those shares from Curation Foods, in either case, at a price equal to 26.9% of the fair market value of Windset’s common shares, plus the liquidation value of the preferred shares of $20.1 million ($15.0 million for the Senior A preferred shares and $5.1 million for the junior preferred shares). Under the terms of the arrangement with Windset, the Company is entitled to designate one of five members on the Board of Directors of Windset.</w:t>
      </w:r>
    </w:p>
    <w:p>
      <w:pPr>
        <w:spacing w:after="0" w:line="153"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investment in Windset does not qualify for equity method accounting as the investment does not meet the criteria of in-substance common stock due to returns through the annual dividend on the non-voting senior preferred shares that are not available to the common stockholders. As the put and call options require all of the various shares to be put or called in equal proportions, the Company has deemed that the investment, in substance, should be treated as a single security for purposes of accounting.</w:t>
      </w:r>
    </w:p>
    <w:p>
      <w:pPr>
        <w:spacing w:after="0" w:line="146" w:lineRule="exact"/>
        <w:rPr>
          <w:sz w:val="20"/>
          <w:szCs w:val="20"/>
          <w:color w:val="auto"/>
        </w:rPr>
      </w:pPr>
    </w:p>
    <w:p>
      <w:pPr>
        <w:jc w:val="both"/>
        <w:ind w:firstLine="783"/>
        <w:spacing w:after="0" w:line="257" w:lineRule="auto"/>
        <w:rPr>
          <w:sz w:val="20"/>
          <w:szCs w:val="20"/>
          <w:color w:val="auto"/>
        </w:rPr>
      </w:pPr>
      <w:r>
        <w:rPr>
          <w:rFonts w:ascii="Arial" w:cs="Arial" w:eastAsia="Arial" w:hAnsi="Arial"/>
          <w:sz w:val="18"/>
          <w:szCs w:val="18"/>
          <w:color w:val="auto"/>
        </w:rPr>
        <w:t>The fair value of the Company’s investment in Windset was determined utilizing the Windset Purchase Agreement’s put/call calculation for value and a discounted cash flow model based on projections developed by Windset, and considers the put and call conversion options. These features impact the duration of the cash flows utilized to derive the estimated fair values of the investment. These two discounted cash flow models’ estimate for fair value are then weighted. Assumptions included in these discounted cash flow models will be evaluated quarterly based on Windset’s actual and projected operating results to determine the change in fair value.</w:t>
      </w:r>
    </w:p>
    <w:p>
      <w:pPr>
        <w:spacing w:after="0" w:line="148"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During the three months ended November 24, 2019 and November 25, 2018, the Company recorded $0.3 million and $0.4 million, respectively, in dividend income. During the six months ended November 24, 2019 and November 25, 2018, the Company recorded $0.6 million and $0.8 million, respectively, in dividend income. The increase in the fair market value of the Company’s investment in Windset for the three months ended November 24, 2019 and November 25, 2018 was $0.2 million and $0.6 million, respectively. The increase in the fair market value of the Company’s investment in Windset for the six months ended November 24, 2019 and November 25, 2018 was $0.2 million and $1.6 million, respectively, and is included in Other income in the accompanying Consolidated Statements of Comprehensive Loss</w:t>
      </w:r>
      <w:r>
        <w:rPr>
          <w:rFonts w:ascii="Arial" w:cs="Arial" w:eastAsia="Arial" w:hAnsi="Arial"/>
          <w:sz w:val="18"/>
          <w:szCs w:val="18"/>
          <w:b w:val="1"/>
          <w:bCs w:val="1"/>
          <w:color w:val="auto"/>
        </w:rPr>
        <w:t>.</w:t>
      </w:r>
    </w:p>
    <w:p>
      <w:pPr>
        <w:spacing w:after="0" w:line="1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Stock-based Compensation and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Activity</w:t>
      </w:r>
    </w:p>
    <w:p>
      <w:pPr>
        <w:spacing w:after="0" w:line="185" w:lineRule="exact"/>
        <w:rPr>
          <w:sz w:val="20"/>
          <w:szCs w:val="20"/>
          <w:color w:val="auto"/>
        </w:rPr>
      </w:pPr>
    </w:p>
    <w:p>
      <w:pPr>
        <w:jc w:val="both"/>
        <w:ind w:firstLine="783"/>
        <w:spacing w:after="0" w:line="286" w:lineRule="auto"/>
        <w:rPr>
          <w:sz w:val="20"/>
          <w:szCs w:val="20"/>
          <w:color w:val="auto"/>
        </w:rPr>
      </w:pPr>
      <w:r>
        <w:rPr>
          <w:rFonts w:ascii="Arial" w:cs="Arial" w:eastAsia="Arial" w:hAnsi="Arial"/>
          <w:sz w:val="17"/>
          <w:szCs w:val="17"/>
          <w:color w:val="auto"/>
        </w:rPr>
        <w:t>The estimated fair value for stock options, which determines the Company’s calculation of stock-based compensation expense, is based on the Black-Scholes option pricing model. Restricted stock units ("RSUs") are valued at the closing market price of the Company’s common stock on the grant date. The Company uses the straight-line method to recognize the fair value of stock-based compensation arrangements.</w:t>
      </w:r>
    </w:p>
    <w:p>
      <w:pPr>
        <w:spacing w:after="0" w:line="125"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During the three months ended November 24, 2019, the Company granted 60,000 options to purchase shares of common stock and awarded 165,000 RSUs. During the six months ended November 24, 2019, the Company granted 60,000 options to purchase shares of common stock and awarded 252,000 RSUs.</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As of November 24, 2019, the Company has reserved 3.9 million shares of Common Stock for future issuance under its current and former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Company’s stock-based awards include stock option grants and RSUs. The Company records compensation expense for stock-based awards issued to employees and directors in exchange for services provided based on the estimated fair value of the awards on their grant dates and is recognized over the required service periods, generally the vesting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stock-based compensation by income statement line item: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5"/>
          </w:tcPr>
          <w:p>
            <w:pPr>
              <w:ind w:left="98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3600" w:type="dxa"/>
            <w:vAlign w:val="bottom"/>
            <w:gridSpan w:val="4"/>
          </w:tcPr>
          <w:p>
            <w:pPr>
              <w:jc w:val="right"/>
              <w:ind w:right="1110"/>
              <w:spacing w:after="0"/>
              <w:rPr>
                <w:sz w:val="20"/>
                <w:szCs w:val="20"/>
                <w:color w:val="auto"/>
              </w:rPr>
            </w:pPr>
            <w:r>
              <w:rPr>
                <w:rFonts w:ascii="Arial" w:cs="Arial" w:eastAsia="Arial" w:hAnsi="Arial"/>
                <w:sz w:val="18"/>
                <w:szCs w:val="18"/>
                <w:color w:val="auto"/>
              </w:rPr>
              <w:t>Six Months Ended</w:t>
            </w: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800" w:type="dxa"/>
            <w:vAlign w:val="bottom"/>
            <w:gridSpan w:val="2"/>
          </w:tcPr>
          <w:p>
            <w:pPr>
              <w:ind w:left="40"/>
              <w:spacing w:after="0"/>
              <w:rPr>
                <w:sz w:val="20"/>
                <w:szCs w:val="20"/>
                <w:color w:val="auto"/>
              </w:rPr>
            </w:pPr>
            <w:r>
              <w:rPr>
                <w:rFonts w:ascii="Arial" w:cs="Arial" w:eastAsia="Arial" w:hAnsi="Arial"/>
                <w:sz w:val="18"/>
                <w:szCs w:val="18"/>
                <w:color w:val="auto"/>
              </w:rPr>
              <w:t>November 24, 2019</w:t>
            </w:r>
          </w:p>
        </w:tc>
        <w:tc>
          <w:tcPr>
            <w:tcW w:w="14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November 25, 2018</w:t>
            </w:r>
          </w:p>
        </w:tc>
        <w:tc>
          <w:tcPr>
            <w:tcW w:w="16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November 24, 2019</w:t>
            </w:r>
          </w:p>
        </w:tc>
        <w:tc>
          <w:tcPr>
            <w:tcW w:w="16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w w:val="91"/>
              </w:rPr>
              <w:t>November 25, 2018</w:t>
            </w:r>
          </w:p>
        </w:tc>
      </w:tr>
      <w:tr>
        <w:trPr>
          <w:trHeight w:val="27"/>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 stock-based compensation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1,666</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As of November 24, 2019, there was $5.1 million of total unrecognized compensation expense related to unvested equity compensation awards granted under the Landec incentive stock plans. Total expense is expected to be recognized over the weighted-average period of 1.83 years for stock options and 2.03 years for RSUs.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Plan</w:t>
      </w:r>
    </w:p>
    <w:p>
      <w:pPr>
        <w:spacing w:after="0" w:line="185" w:lineRule="exact"/>
        <w:rPr>
          <w:sz w:val="20"/>
          <w:szCs w:val="20"/>
          <w:color w:val="auto"/>
        </w:rPr>
      </w:pPr>
    </w:p>
    <w:p>
      <w:pPr>
        <w:jc w:val="both"/>
        <w:ind w:firstLine="783"/>
        <w:spacing w:after="0" w:line="272" w:lineRule="auto"/>
        <w:rPr>
          <w:sz w:val="20"/>
          <w:szCs w:val="20"/>
          <w:color w:val="auto"/>
        </w:rPr>
      </w:pPr>
      <w:r>
        <w:rPr>
          <w:rFonts w:ascii="Arial" w:cs="Arial" w:eastAsia="Arial" w:hAnsi="Arial"/>
          <w:sz w:val="17"/>
          <w:szCs w:val="17"/>
          <w:color w:val="auto"/>
        </w:rPr>
        <w:t>On July 14, 2010, the Company announced that the Board of Directors of the Company had approved the establishment of a stock repurchase plan authorizing the repurchase of up to $10 million of the Company’s common stock. The Company may repurchase its common stock from time to time in open market purchases or in privately negotiated transactions. The timing and actual number of shares repurchased is at the discretion of management of the Company and will depend on a variety of factors, including stock price, corporate and regulatory requirements, market conditions, the relative attractiveness of other capital deployment opportunities and other corporate priorities. The stock repurchase program does not obligate Landec to acquire any amount of its common stock and the program may be modified, suspended or terminated at any time at the Company's discretion without prior notice. During the six months ended November 24, 2019, the Company did not repurchase any of its outstanding common stock.</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Diluted Earnings Per Share</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the computation of diluted earnings per share: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64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2900" w:type="dxa"/>
            <w:vAlign w:val="bottom"/>
            <w:gridSpan w:val="4"/>
          </w:tcPr>
          <w:p>
            <w:pPr>
              <w:jc w:val="right"/>
              <w:ind w:right="750"/>
              <w:spacing w:after="0"/>
              <w:rPr>
                <w:sz w:val="20"/>
                <w:szCs w:val="20"/>
                <w:color w:val="auto"/>
              </w:rPr>
            </w:pPr>
            <w:r>
              <w:rPr>
                <w:rFonts w:ascii="Arial" w:cs="Arial" w:eastAsia="Arial" w:hAnsi="Arial"/>
                <w:sz w:val="18"/>
                <w:szCs w:val="18"/>
                <w:color w:val="auto"/>
              </w:rPr>
              <w:t>Six Months Ended</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November 24,</w:t>
            </w: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November 25,</w:t>
            </w: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November 24,</w:t>
            </w:r>
          </w:p>
        </w:tc>
        <w:tc>
          <w:tcPr>
            <w:tcW w:w="1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25,</w:t>
            </w: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loss applicable to Common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(6,740)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(11,524)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Weighted average shares for basic net loss per share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27,751</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 options and restricted stock units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for diluted net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27,751</w:t>
            </w:r>
          </w:p>
        </w:tc>
      </w:tr>
      <w:tr>
        <w:trPr>
          <w:trHeight w:val="324"/>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Company’s net loss for the three and six months ended November 24, 2019, the net loss per share includes only weighted average shares outstanding and thus excludes 0.2 million and 0.1 million, respectively, of outstanding options and RSUs as such impacts would be antidilutive for this period. Due to the Company’s net loss for the three and six months ended November 25, 2018, the net loss per share includes only weighted average shares outstanding and thus excludes 0.3 million and 0.3 million, respectively, of outstanding options and RSUs as such impacts would be antidilutive for these periods.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November 24, 2019, the computation of the diluted net loss per share excludes the impact of options to purchase 2.3 million and 2.5 million shares of Common Stock, respectively, as such impacts would be antidilutive for these periods. For the three and six months ended November 25, 2018, the computation of the diluted net loss per share excludes the impact of options to purchase 1.5 million and 1.4 million shares of Common Stock, respectively, as such impacts would be antidilutive for these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189"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provision for income taxes for the six months ended November 24, 2019 and November 25, 2018 was a benefit of $2.5 million and an expense of $0.3 million, respectively. The effective tax rate for the six months ended November 24, 2019 and November 25, 2018 was 18% and 25%, respectively. The effective tax rate for the six months ended November 24, 2019 was lower than the statutory federal income tax rate of 21% primarily due to the impact of state taxes and stock-based compensation, partially offset by federal &amp; state R&amp;D Credits.</w:t>
      </w:r>
    </w:p>
    <w:p>
      <w:pPr>
        <w:spacing w:after="0" w:line="146"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As of November 24, 2019 and May 26, 2019, the Company had unrecognized tax benefits of $0.7 million and $0.6 million, respectively. Included in the balance of unrecognized tax benefits as of November 24, 2019 and May 26, 2019 is $0.6 million and $0.5 million, respectively, of tax benefits that, if recognized, would result in an adjustment to the Company’s effective tax rate. The Company does not expect its unrecognized tax benefits to change significantly within the next twelve months.</w:t>
      </w:r>
    </w:p>
    <w:p>
      <w:pPr>
        <w:spacing w:after="0" w:line="146"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Company has elected to classify interest and penalties related to uncertain tax positions as a component of its provision for income taxes. The Company has accrued an insignificant amount of interest and penalties relating to the income tax on the unrecognized tax benefits as of November 24, 2019 and May 26, 2019.</w:t>
      </w:r>
    </w:p>
    <w:p>
      <w:pPr>
        <w:spacing w:after="0" w:line="141"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Due to tax attribute carryforwards, the Company is subject to examination for tax years 2016 forward for U.S. tax purposes. The Company is also subject to examination in various state jurisdictions for tax years 2012 forward, none of which were individually material.</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7.  Debt</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92"/>
        </w:trPr>
        <w:tc>
          <w:tcPr>
            <w:tcW w:w="7200" w:type="dxa"/>
            <w:vAlign w:val="bottom"/>
          </w:tcPr>
          <w:p>
            <w:pPr>
              <w:ind w:left="800"/>
              <w:spacing w:after="0"/>
              <w:rPr>
                <w:sz w:val="20"/>
                <w:szCs w:val="20"/>
                <w:color w:val="auto"/>
              </w:rPr>
            </w:pPr>
            <w:r>
              <w:rPr>
                <w:rFonts w:ascii="Arial" w:cs="Arial" w:eastAsia="Arial" w:hAnsi="Arial"/>
                <w:sz w:val="18"/>
                <w:szCs w:val="18"/>
                <w:color w:val="auto"/>
              </w:rPr>
              <w:t>Long-term debt, net consists of the following:</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November 24, 2019</w:t>
            </w:r>
          </w:p>
        </w:tc>
        <w:tc>
          <w:tcPr>
            <w:tcW w:w="320" w:type="dxa"/>
            <w:vAlign w:val="bottom"/>
          </w:tcPr>
          <w:p>
            <w:pPr>
              <w:spacing w:after="0"/>
              <w:rPr>
                <w:sz w:val="24"/>
                <w:szCs w:val="24"/>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May 26, 2019</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97,500</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principal amount of long-term debt</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97,500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long-term debt, net of unamortized debt issuance costs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119,193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96,984</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 net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(9,791)</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107,470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87,193</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On September 23, 2016, the Company entered into a Credit Agreement with JPMorgan, BMO, and City National Bank, as lenders (collectively, the “Lenders”), and JPMorgan as administrative agent, pursuant to which the Lenders provided the Company with a $100.0 million revolving line of credit (the “Revolver”) and a $50.0 million term loan facility (the “Term Loan”), guaranteed by each of the Company’s direct and indirect subsidiaries and secured by substantially all of the Company’s assets, with the exception of the Company’s investment in Windset.</w:t>
      </w:r>
    </w:p>
    <w:p>
      <w:pPr>
        <w:spacing w:after="0" w:line="146"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On November 30, 2018, the Company entered into the Fourth Amendment to the Credit Agreement, which increased the Term Loan to $100.0 million and the Revolver to $105.0 million.</w:t>
      </w:r>
    </w:p>
    <w:p>
      <w:pPr>
        <w:spacing w:after="0" w:line="130"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On October 25, 2019, the Company entered into the Sixth Amendment to the Credit Agreement (the "Amendment"), which increased the Term Loan to $120.0 million and decreased the revolver to $100.0 million. Both the Revolver and the Term Loan mature on October 25, 2022, with the Term Loan requiring quarterly principal payments of $3.0 million and the remainder continuing to be due at maturity.</w:t>
      </w:r>
    </w:p>
    <w:p>
      <w:pPr>
        <w:spacing w:after="0" w:line="141" w:lineRule="exact"/>
        <w:rPr>
          <w:sz w:val="20"/>
          <w:szCs w:val="20"/>
          <w:color w:val="auto"/>
        </w:rPr>
      </w:pPr>
    </w:p>
    <w:p>
      <w:pPr>
        <w:jc w:val="both"/>
        <w:ind w:firstLine="783"/>
        <w:spacing w:after="0" w:line="273" w:lineRule="auto"/>
        <w:rPr>
          <w:sz w:val="20"/>
          <w:szCs w:val="20"/>
          <w:color w:val="auto"/>
        </w:rPr>
      </w:pPr>
      <w:r>
        <w:rPr>
          <w:rFonts w:ascii="Arial" w:cs="Arial" w:eastAsia="Arial" w:hAnsi="Arial"/>
          <w:sz w:val="17"/>
          <w:szCs w:val="17"/>
          <w:color w:val="auto"/>
        </w:rPr>
        <w:t>Interest on both the Revolver and the Term Loan continues to be based upon the Company’s leverage ratio (generally defined as the ratio of the Company’s total indebtedness on such date to the Company’s consolidated EBITDA for the period of four consecutive fiscal quarters ended on or most recently prior to such date), at a per annum rate of either (i) the prime rate plus a spread of between 0.25% and 2.50% or (ii) the Eurodollar rate plus a spread of between 1.25% and 3.50%. The amended agreement increased the leverage ratio covenant to 5.00 to 1.00 from 4.50 to 1.00 for the remainder of fiscal year 2020. The leverage ratio decreases by 25 basis points each subsequent quarter thereafter, beginning in the first quarter of fiscal year 2021, until it reaches 3.50 for the second quarter of fiscal year 2022 and remains fixed through maturity.</w:t>
      </w:r>
    </w:p>
    <w:p>
      <w:pPr>
        <w:spacing w:after="0" w:line="138"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The Credit Agreement provides the Company the right to increase the Revolver commitments and/or the Term Loan commitments by obtaining additional commitments either from one or more of the Lenders or another lending institution at an amount of up to $10.0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The Credit Agreement continues to contain customary financial covenants and events of default under which the obligation could be accelerated and/or the interest rate increased. The Company was in compliance with all financial covenants as of November 24, 2019.</w:t>
      </w:r>
    </w:p>
    <w:p>
      <w:pPr>
        <w:spacing w:after="0" w:line="130" w:lineRule="exact"/>
        <w:rPr>
          <w:sz w:val="20"/>
          <w:szCs w:val="20"/>
          <w:color w:val="auto"/>
        </w:rPr>
      </w:pPr>
    </w:p>
    <w:p>
      <w:pPr>
        <w:ind w:right="1320" w:firstLine="648"/>
        <w:spacing w:after="0" w:line="454" w:lineRule="auto"/>
        <w:rPr>
          <w:sz w:val="20"/>
          <w:szCs w:val="20"/>
          <w:color w:val="auto"/>
        </w:rPr>
      </w:pPr>
      <w:r>
        <w:rPr>
          <w:rFonts w:ascii="Arial" w:cs="Arial" w:eastAsia="Arial" w:hAnsi="Arial"/>
          <w:sz w:val="18"/>
          <w:szCs w:val="18"/>
          <w:color w:val="auto"/>
        </w:rPr>
        <w:t xml:space="preserve">As of November 24, 2019, $61.5 million was outstanding on the Revolver, at an interest rate of 5.04% under the Eurodollar option. </w:t>
      </w:r>
      <w:r>
        <w:rPr>
          <w:rFonts w:ascii="Arial" w:cs="Arial" w:eastAsia="Arial" w:hAnsi="Arial"/>
          <w:sz w:val="18"/>
          <w:szCs w:val="18"/>
          <w:i w:val="1"/>
          <w:iCs w:val="1"/>
          <w:color w:val="auto"/>
        </w:rPr>
        <w:t>Derivative Instruments</w:t>
      </w:r>
    </w:p>
    <w:p>
      <w:pPr>
        <w:ind w:left="800"/>
        <w:spacing w:after="0"/>
        <w:rPr>
          <w:sz w:val="20"/>
          <w:szCs w:val="20"/>
          <w:color w:val="auto"/>
        </w:rPr>
      </w:pPr>
      <w:r>
        <w:rPr>
          <w:rFonts w:ascii="Arial" w:cs="Arial" w:eastAsia="Arial" w:hAnsi="Arial"/>
          <w:sz w:val="16"/>
          <w:szCs w:val="16"/>
          <w:color w:val="auto"/>
        </w:rPr>
        <w:t>On November 1, 2016, the Company entered into an interest rate swap contract (the “2016 Swap”) with BMO at a notional amount of $50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2016 Swap has the effect of changing the Company’s Term Loan obligation from a variable interest rate to a fixed 30-day LIBOR rate of 1.22%.</w:t>
      </w:r>
    </w:p>
    <w:p>
      <w:pPr>
        <w:spacing w:after="0" w:line="182"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On June 25, 2018, the Company entered into an interest rate swap contract (the “2018 Swap”) with BMO at a notional amount of $30.0 million. The 2018 Swap has the effect of converting the first $30.0 million of the total outstanding amount of the Company’s 30-day LIBOR borrowings from a variable interest rate to a fixed 30-day LIBOR rate of 2.74%.</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Leases</w:t>
      </w:r>
    </w:p>
    <w:p>
      <w:pPr>
        <w:spacing w:after="0" w:line="189"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Company has entered into various non-cancellable operating lease agreements for manufacturing and distribution facilities, vehicles, equipment and office space. 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estimated present value of lease payments over the lease term.</w:t>
      </w:r>
    </w:p>
    <w:p>
      <w:pPr>
        <w:spacing w:after="0" w:line="146"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Company leases property and equipment under finance leases. Gross assets recorded under finance leases, included in “Property and equipment, net,” were $3.8 million as of both November 24, 2019 and May 26, 2019. Accumulated amortization associated with finance leases was $0.4 million as of both November 24, 2019 and May 26,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ind w:left="800"/>
              <w:spacing w:after="0"/>
              <w:rPr>
                <w:sz w:val="20"/>
                <w:szCs w:val="20"/>
                <w:color w:val="auto"/>
              </w:rPr>
            </w:pPr>
            <w:r>
              <w:rPr>
                <w:rFonts w:ascii="Arial" w:cs="Arial" w:eastAsia="Arial" w:hAnsi="Arial"/>
                <w:sz w:val="18"/>
                <w:szCs w:val="18"/>
                <w:color w:val="auto"/>
              </w:rPr>
              <w:t>The components of lease cost were as follows:</w:t>
            </w: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8"/>
        </w:trPr>
        <w:tc>
          <w:tcPr>
            <w:tcW w:w="486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term and discount rate)</w:t>
            </w: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1800" w:type="dxa"/>
            <w:vAlign w:val="bottom"/>
          </w:tcPr>
          <w:p>
            <w:pPr>
              <w:jc w:val="right"/>
              <w:ind w:right="250"/>
              <w:spacing w:after="0"/>
              <w:rPr>
                <w:sz w:val="20"/>
                <w:szCs w:val="20"/>
                <w:color w:val="auto"/>
              </w:rPr>
            </w:pPr>
            <w:r>
              <w:rPr>
                <w:rFonts w:ascii="Arial" w:cs="Arial" w:eastAsia="Arial" w:hAnsi="Arial"/>
                <w:sz w:val="18"/>
                <w:szCs w:val="18"/>
                <w:color w:val="auto"/>
                <w:w w:val="98"/>
              </w:rPr>
              <w:t>Six Months Ended</w:t>
            </w:r>
          </w:p>
        </w:tc>
      </w:tr>
      <w:tr>
        <w:trPr>
          <w:trHeight w:val="27"/>
        </w:trPr>
        <w:tc>
          <w:tcPr>
            <w:tcW w:w="4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November 24, 2019</w:t>
            </w:r>
          </w:p>
        </w:tc>
        <w:tc>
          <w:tcPr>
            <w:tcW w:w="22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4"/>
              </w:rPr>
              <w:t>November 24, 2019</w:t>
            </w:r>
          </w:p>
        </w:tc>
      </w:tr>
      <w:tr>
        <w:trPr>
          <w:trHeight w:val="27"/>
        </w:trPr>
        <w:tc>
          <w:tcPr>
            <w:tcW w:w="48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Amortization of leased assets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57</w:t>
            </w:r>
          </w:p>
        </w:tc>
      </w:tr>
      <w:tr>
        <w:trPr>
          <w:trHeight w:val="27"/>
        </w:trPr>
        <w:tc>
          <w:tcPr>
            <w:tcW w:w="4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3,161</w:t>
            </w:r>
          </w:p>
        </w:tc>
      </w:tr>
      <w:tr>
        <w:trPr>
          <w:trHeight w:val="27"/>
        </w:trPr>
        <w:tc>
          <w:tcPr>
            <w:tcW w:w="4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 and other</w:t>
            </w:r>
          </w:p>
        </w:tc>
        <w:tc>
          <w:tcPr>
            <w:tcW w:w="2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697</w:t>
            </w:r>
          </w:p>
        </w:tc>
      </w:tr>
      <w:tr>
        <w:trPr>
          <w:trHeight w:val="297"/>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lease cost</w:t>
            </w:r>
          </w:p>
        </w:tc>
        <w:tc>
          <w:tcPr>
            <w:tcW w:w="25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4,095</w:t>
            </w:r>
          </w:p>
        </w:tc>
      </w:tr>
      <w:tr>
        <w:trPr>
          <w:trHeight w:val="311"/>
        </w:trPr>
        <w:tc>
          <w:tcPr>
            <w:tcW w:w="48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Weighted-average remaining lease term:</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13.11</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3.10</w:t>
            </w:r>
          </w:p>
        </w:tc>
      </w:tr>
      <w:tr>
        <w:trPr>
          <w:trHeight w:val="27"/>
        </w:trPr>
        <w:tc>
          <w:tcPr>
            <w:tcW w:w="4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4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864"/>
        </w:trPr>
        <w:tc>
          <w:tcPr>
            <w:tcW w:w="4860" w:type="dxa"/>
            <w:vAlign w:val="bottom"/>
          </w:tcPr>
          <w:p>
            <w:pPr>
              <w:spacing w:after="0"/>
              <w:rPr>
                <w:sz w:val="24"/>
                <w:szCs w:val="24"/>
                <w:color w:val="auto"/>
              </w:rPr>
            </w:pPr>
          </w:p>
        </w:tc>
        <w:tc>
          <w:tcPr>
            <w:tcW w:w="2500" w:type="dxa"/>
            <w:vAlign w:val="bottom"/>
          </w:tcPr>
          <w:p>
            <w:pPr>
              <w:jc w:val="right"/>
              <w:ind w:right="141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leases have original lease periods ending between 2019 and 2040. The Company's maturity analysis of operating and finance lease liabilities as of November 24, 2019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0"/>
                <w:szCs w:val="20"/>
                <w:color w:val="auto"/>
              </w:rPr>
            </w:pPr>
          </w:p>
        </w:tc>
        <w:tc>
          <w:tcPr>
            <w:tcW w:w="176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5,250</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7,109</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26,433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26,435</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49,671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(14,896)</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34,775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current obligation of lease liabilities</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(3,980)</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30,795</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future minimum annual lease payments required under the Company’s existing operating lease agreements as of May 26, 2019 prior to the adoption of ASC 842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color w:val="auto"/>
                <w:w w:val="94"/>
              </w:rPr>
              <w:t>Operating Leases</w:t>
            </w:r>
          </w:p>
        </w:tc>
      </w:tr>
      <w:tr>
        <w:trPr>
          <w:trHeight w:val="27"/>
        </w:trPr>
        <w:tc>
          <w:tcPr>
            <w:tcW w:w="9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year 2021</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4,044</w:t>
            </w:r>
          </w:p>
        </w:tc>
      </w:tr>
      <w:tr>
        <w:trPr>
          <w:trHeight w:val="27"/>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2022</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year 2023</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3,350</w:t>
            </w:r>
          </w:p>
        </w:tc>
      </w:tr>
      <w:tr>
        <w:trPr>
          <w:trHeight w:val="27"/>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2024</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9,335</w:t>
            </w:r>
          </w:p>
        </w:tc>
      </w:tr>
      <w:tr>
        <w:trPr>
          <w:trHeight w:val="27"/>
        </w:trPr>
        <w:tc>
          <w:tcPr>
            <w:tcW w:w="9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28,421</w:t>
            </w: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Rent expense for operating leases, including month to month arrangements was $7.3 million and $6.1 million and for the fiscal years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future minimum annual lease payments required under the Company’s existing capital lease agreements as of May 26, 2019 prior to the adoption of ASC 842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color w:val="auto"/>
                <w:w w:val="88"/>
              </w:rPr>
              <w:t>Capital Leases</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year 2021</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2022</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year 2023</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2024</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amounts representing interest and taxes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current portion included in other accrued liabilities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660"/>
              <w:spacing w:after="0"/>
              <w:rPr>
                <w:sz w:val="20"/>
                <w:szCs w:val="20"/>
                <w:color w:val="auto"/>
              </w:rPr>
            </w:pPr>
            <w:r>
              <w:rPr>
                <w:rFonts w:ascii="Arial" w:cs="Arial" w:eastAsia="Arial" w:hAnsi="Arial"/>
                <w:sz w:val="18"/>
                <w:szCs w:val="18"/>
                <w:color w:val="auto"/>
              </w:rPr>
              <w:t>Supplemental cash flow information related to leases are as follows:</w:t>
            </w: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9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1"/>
              </w:rPr>
              <w:t>November 24, 2019</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liabilities arising from obtaining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Business Segment Reporting</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Company has three strategic reporting business segments: the Curation Foods segment, the Lifecore segment, and the Other segment.</w:t>
      </w:r>
    </w:p>
    <w:p>
      <w:pPr>
        <w:spacing w:after="0" w:line="196" w:lineRule="exact"/>
        <w:rPr>
          <w:sz w:val="20"/>
          <w:szCs w:val="20"/>
          <w:color w:val="auto"/>
        </w:rPr>
      </w:pPr>
    </w:p>
    <w:p>
      <w:pPr>
        <w:jc w:val="both"/>
        <w:ind w:firstLine="783"/>
        <w:spacing w:after="0" w:line="286" w:lineRule="auto"/>
        <w:rPr>
          <w:sz w:val="20"/>
          <w:szCs w:val="20"/>
          <w:color w:val="auto"/>
        </w:rPr>
      </w:pPr>
      <w:r>
        <w:rPr>
          <w:rFonts w:ascii="Arial" w:cs="Arial" w:eastAsia="Arial" w:hAnsi="Arial"/>
          <w:sz w:val="17"/>
          <w:szCs w:val="17"/>
          <w:color w:val="auto"/>
        </w:rPr>
        <w:t>The Company decided to discontinue its Now Planting business during the fourth quarter of fiscal year 2019. As a result, the operating results for the Now Planting business are presented as a discontinued operation in the Company's accompanying Consolidated Financial Statements and the financial results for fiscal year 2019 comparable periods have been reclassified to present the Now Planting business as a discontinued operation.</w:t>
      </w:r>
    </w:p>
    <w:p>
      <w:pPr>
        <w:spacing w:after="0" w:line="125" w:lineRule="exact"/>
        <w:rPr>
          <w:sz w:val="20"/>
          <w:szCs w:val="20"/>
          <w:color w:val="auto"/>
        </w:rPr>
      </w:pPr>
    </w:p>
    <w:p>
      <w:pPr>
        <w:jc w:val="both"/>
        <w:ind w:firstLine="783"/>
        <w:spacing w:after="0" w:line="239" w:lineRule="auto"/>
        <w:rPr>
          <w:sz w:val="20"/>
          <w:szCs w:val="20"/>
          <w:color w:val="auto"/>
        </w:rPr>
      </w:pPr>
      <w:r>
        <w:rPr>
          <w:rFonts w:ascii="Arial" w:cs="Arial" w:eastAsia="Arial" w:hAnsi="Arial"/>
          <w:sz w:val="18"/>
          <w:szCs w:val="18"/>
          <w:color w:val="auto"/>
        </w:rPr>
        <w:t>The Curation Foods business includes (i) four natural food brands, Eat Smart, O Olive Oil &amp; Vinegar, as well as Yucatan and Cabo Fresh, acquired by the Company through the acquisition of Yucatan Foods during the third quarter of fiscal 2019 (see the Note 2 - Acquisitions for more details on this transaction), and (ii) BreatheWay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activities. The Curation Foods segment includes activities to market and pack specialty packaged whole and fresh-cut fruit and vegetables, the majority of which incorporate the BreatheWay specialty packaging for the retail grocery, club store and food services industry and are sold primarily under the Eat Smart brand and various private labels. The Curation Foods segment also includes sales of BreatheWay packaging to partners for fruit and vegetable products, sales of olive oils and wine vinegars under the </w:t>
      </w:r>
      <w:r>
        <w:rPr>
          <w:rFonts w:ascii="Arial" w:cs="Arial" w:eastAsia="Arial" w:hAnsi="Arial"/>
          <w:sz w:val="18"/>
          <w:szCs w:val="18"/>
          <w:i w:val="1"/>
          <w:iCs w:val="1"/>
          <w:color w:val="auto"/>
        </w:rPr>
        <w:t>O</w:t>
      </w:r>
      <w:r>
        <w:rPr>
          <w:rFonts w:ascii="Arial" w:cs="Arial" w:eastAsia="Arial" w:hAnsi="Arial"/>
          <w:sz w:val="18"/>
          <w:szCs w:val="18"/>
          <w:color w:val="auto"/>
        </w:rPr>
        <w:t xml:space="preserve"> brand, and sales of avocado products under the recently acquired brands Yucatan and Cabo Fresh.</w:t>
      </w:r>
    </w:p>
    <w:p>
      <w:pPr>
        <w:spacing w:after="0" w:line="165" w:lineRule="exact"/>
        <w:rPr>
          <w:sz w:val="20"/>
          <w:szCs w:val="20"/>
          <w:color w:val="auto"/>
        </w:rPr>
      </w:pPr>
    </w:p>
    <w:p>
      <w:pPr>
        <w:jc w:val="both"/>
        <w:ind w:right="20" w:firstLine="810"/>
        <w:spacing w:after="0" w:line="342" w:lineRule="auto"/>
        <w:rPr>
          <w:sz w:val="20"/>
          <w:szCs w:val="20"/>
          <w:color w:val="auto"/>
        </w:rPr>
      </w:pPr>
      <w:r>
        <w:rPr>
          <w:rFonts w:ascii="Arial" w:cs="Arial" w:eastAsia="Arial" w:hAnsi="Arial"/>
          <w:sz w:val="16"/>
          <w:szCs w:val="16"/>
          <w:color w:val="auto"/>
        </w:rPr>
        <w:t>The Lifecore segment sells products utilizing hyaluronan, a naturally occurring polysaccharide that is widely distributed in the extracellular matrix of connective tissues in both animals and humans, and non-HA products for medical use primarily in the Ophthalmic, Orthopedic and other markets.</w:t>
      </w:r>
    </w:p>
    <w:p>
      <w:pPr>
        <w:spacing w:after="0" w:line="83"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The Other segment includes corporate general and administrative expenses, non-Curation Foods and non-Lifecore interest expense, interest income and income tax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All of the Company's assets are located within the United States of America except for the production facility in Mexico, which was acquired by the Company as a result of the Yucatan Foods acquisition.</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international sales by geography are based on the billing address of the customer and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gridSpan w:val="5"/>
          </w:tcPr>
          <w:p>
            <w:pPr>
              <w:ind w:left="116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4000" w:type="dxa"/>
            <w:vAlign w:val="bottom"/>
            <w:gridSpan w:val="4"/>
          </w:tcPr>
          <w:p>
            <w:pPr>
              <w:jc w:val="right"/>
              <w:ind w:right="1330"/>
              <w:spacing w:after="0"/>
              <w:rPr>
                <w:sz w:val="20"/>
                <w:szCs w:val="20"/>
                <w:color w:val="auto"/>
              </w:rPr>
            </w:pPr>
            <w:r>
              <w:rPr>
                <w:rFonts w:ascii="Arial" w:cs="Arial" w:eastAsia="Arial" w:hAnsi="Arial"/>
                <w:sz w:val="18"/>
                <w:szCs w:val="18"/>
                <w:color w:val="auto"/>
              </w:rPr>
              <w:t>Six Months Ended</w:t>
            </w:r>
          </w:p>
        </w:tc>
      </w:tr>
      <w:tr>
        <w:trPr>
          <w:trHeight w:val="27"/>
        </w:trPr>
        <w:tc>
          <w:tcPr>
            <w:tcW w:w="2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November 24, 2019</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November 25, 2018</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November 24,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6"/>
              </w:rPr>
              <w:t>November 25, 2018</w:t>
            </w:r>
          </w:p>
        </w:tc>
      </w:tr>
      <w:tr>
        <w:trPr>
          <w:trHeight w:val="27"/>
        </w:trPr>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2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459"/>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1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5580" w:type="dxa"/>
            <w:vAlign w:val="bottom"/>
            <w:gridSpan w:val="4"/>
          </w:tcPr>
          <w:p>
            <w:pPr>
              <w:ind w:left="620"/>
              <w:spacing w:after="0"/>
              <w:rPr>
                <w:sz w:val="20"/>
                <w:szCs w:val="20"/>
                <w:color w:val="auto"/>
              </w:rPr>
            </w:pPr>
            <w:r>
              <w:rPr>
                <w:rFonts w:ascii="Arial" w:cs="Arial" w:eastAsia="Arial" w:hAnsi="Arial"/>
                <w:sz w:val="18"/>
                <w:szCs w:val="18"/>
                <w:color w:val="auto"/>
              </w:rPr>
              <w:t>Operations by business segment consisted of the following:</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620" w:type="dxa"/>
            <w:vAlign w:val="bottom"/>
            <w:gridSpan w:val="5"/>
          </w:tcPr>
          <w:p>
            <w:pPr>
              <w:ind w:left="4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gridSpan w:val="3"/>
          </w:tcPr>
          <w:p>
            <w:pPr>
              <w:ind w:left="60"/>
              <w:spacing w:after="0"/>
              <w:rPr>
                <w:sz w:val="20"/>
                <w:szCs w:val="20"/>
                <w:color w:val="auto"/>
              </w:rPr>
            </w:pPr>
            <w:r>
              <w:rPr>
                <w:rFonts w:ascii="Arial" w:cs="Arial" w:eastAsia="Arial" w:hAnsi="Arial"/>
                <w:sz w:val="18"/>
                <w:szCs w:val="18"/>
                <w:color w:val="auto"/>
                <w:w w:val="98"/>
              </w:rPr>
              <w:t>Curation Foods</w:t>
            </w:r>
            <w:r>
              <w:rPr>
                <w:rFonts w:ascii="Arial" w:cs="Arial" w:eastAsia="Arial" w:hAnsi="Arial"/>
                <w:sz w:val="25"/>
                <w:szCs w:val="25"/>
                <w:color w:val="auto"/>
                <w:w w:val="98"/>
                <w:vertAlign w:val="superscript"/>
              </w:rPr>
              <w:t>(1)</w:t>
            </w:r>
          </w:p>
        </w:tc>
        <w:tc>
          <w:tcPr>
            <w:tcW w:w="24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Lifecore</w:t>
            </w:r>
          </w:p>
        </w:tc>
        <w:tc>
          <w:tcPr>
            <w:tcW w:w="30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196"/>
        </w:trPr>
        <w:tc>
          <w:tcPr>
            <w:tcW w:w="5620" w:type="dxa"/>
            <w:vAlign w:val="bottom"/>
            <w:tcBorders>
              <w:top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rPr>
              <w:t>Three Months Ended November 24, 2019</w:t>
            </w:r>
          </w:p>
        </w:tc>
        <w:tc>
          <w:tcPr>
            <w:tcW w:w="4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119,751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22,842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142,593</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15,514</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(loss) income from continuing operations</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(6,740)</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4,414</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Dividend income</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2,169</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9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Six Months Ended November 24, 2019</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246,424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34,883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281,307</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30,850</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(loss) income from continuing operations</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(11,524)</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Dividend income</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562</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4,244</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324"/>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7"/>
                <w:szCs w:val="17"/>
                <w:color w:val="auto"/>
              </w:rPr>
              <w:t>Three Months Ended November 25, 2018</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109,111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15,446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124,557</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16,885</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Dividend income</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412</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746</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9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7"/>
                <w:szCs w:val="17"/>
                <w:color w:val="auto"/>
              </w:rPr>
              <w:t>Six Months Ended November 25, 2018</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15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221,162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28,063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249,225</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33,222</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6,458</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Dividend income</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1,504</w:t>
            </w:r>
          </w:p>
        </w:tc>
      </w:tr>
      <w:tr>
        <w:trPr>
          <w:trHeight w:val="270"/>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hanging="332"/>
        <w:spacing w:after="0" w:line="250" w:lineRule="auto"/>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During the third quarter of fiscal 2019, the Company started consolidating Yucatan Foods whose results are included in the Company's operating results starting from December 1, 2018. See Note 2 - Acquisition for more details of this transaction.</w:t>
      </w:r>
    </w:p>
    <w:p>
      <w:pPr>
        <w:ind w:left="340" w:right="20" w:hanging="332"/>
        <w:spacing w:after="0" w:line="255" w:lineRule="auto"/>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Curation Foods' segment operating results for the three and six months ended November 25, 2018 have been restated to reflect the reclassification of the Now Planting brand to discontinued operations.</w:t>
      </w:r>
    </w:p>
    <w:p>
      <w:pPr>
        <w:spacing w:after="0" w:line="150"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During the six months ended November 24, 2019 and November 25, 2018, sales to the Company’s top five customers accounted for 44% and 45% of sales, respectively. The Company’s top two customers, Costco Wholesale Corporation and Wal-Mart Stores, Inc., from the Curation Foods segment, accounted for 13% and 18%, respectively, of revenues for the six months ended November 24, 2019, and 17% and 16%, respectively, for the six months ended November 25,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8"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Discontinued Operations</w:t>
      </w:r>
    </w:p>
    <w:p>
      <w:pPr>
        <w:spacing w:after="0" w:line="189"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During the fourth quarter of fiscal year 2019, the Company discontinued its Now Planting soups. As a result, the Company met the requirements of ASC 205-20¸ to report the results of the Now Planting business as a discontinued operation. The operating results for the Now Planting business have therefore been reclassified as a discontinued operation in fiscal year 2019.</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carrying amounts of the major classes of liabilities of the Now Planting business included in liabilities of discontinued operations are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November 24, 2019</w:t>
            </w:r>
          </w:p>
        </w:tc>
        <w:tc>
          <w:tcPr>
            <w:tcW w:w="320" w:type="dxa"/>
            <w:vAlign w:val="bottom"/>
          </w:tcPr>
          <w:p>
            <w:pPr>
              <w:spacing w:after="0"/>
              <w:rPr>
                <w:sz w:val="20"/>
                <w:szCs w:val="20"/>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May 26, 2019</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 discontinued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Total other current liabilities,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ind w:left="1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783"/>
        <w:spacing w:after="0" w:line="302" w:lineRule="auto"/>
        <w:rPr>
          <w:sz w:val="20"/>
          <w:szCs w:val="20"/>
          <w:color w:val="auto"/>
        </w:rPr>
      </w:pPr>
      <w:r>
        <w:rPr>
          <w:rFonts w:ascii="Arial" w:cs="Arial" w:eastAsia="Arial" w:hAnsi="Arial"/>
          <w:sz w:val="16"/>
          <w:szCs w:val="16"/>
          <w:color w:val="auto"/>
        </w:rPr>
        <w:t>After the Now Planting business was discontinued, the operations associated with this business qualified for reporting as discontinued operations. Accordingly, the operating results, net of tax, from discontinued operations are presented separately in the Company’s Consolidated Statements of Comprehensive Loss and the notes to the consolidated financial statements have been adjusted to exclude the Now Planting business for the three and six months ended November 25, 2018. Components of amounts reflected in loss from discontinued operations, net of tax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gridSpan w:val="5"/>
          </w:tcPr>
          <w:p>
            <w:pPr>
              <w:ind w:left="90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3380" w:type="dxa"/>
            <w:vAlign w:val="bottom"/>
            <w:gridSpan w:val="4"/>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November 24, 2019</w:t>
            </w:r>
          </w:p>
        </w:tc>
        <w:tc>
          <w:tcPr>
            <w:tcW w:w="12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November 25, 2018</w:t>
            </w: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November 24, 2019</w:t>
            </w:r>
          </w:p>
        </w:tc>
        <w:tc>
          <w:tcPr>
            <w:tcW w:w="12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November 25, 2018</w:t>
            </w:r>
          </w:p>
        </w:tc>
      </w:tr>
      <w:tr>
        <w:trPr>
          <w:trHeight w:val="27"/>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7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taxes</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January 2, 2020, the Company announced a restructuring plan to focus the business on its strategic assets and redesign the organization to be the appropriate size to compete and thrive. This includes a reduction-in-force, a reduction in leased office spaces, and the sale of non-strategic assets.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will close its leased Santa Clara, California office and its leased Los Angeles, California office. The Company estimates that over the third and fourth quarter of fiscal year 2020 the total amount of pre-tax restructuring and related expense will be approximately $1.2 to $1.5 million for employee and severance related expenses and approximately $0.4 to $0.6 million for lease exit costs.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plans to sell its salad dressing plant in Ontario, California. The Company designated the fixed assets of its office and manufacturing space located in Ontario, California, as assets held for sale after the balance sheet date. The Ontario assets, included as construction in process within property and equipment, net, has been designated as held for use within the Consolidated Balance Sheets as of November 24, 2019, as no finalized plan for disposition existed at the balance sheet date. The disposal is expected to occur by the end of fiscal year 2020, and at this time the Company is not able to estimate the range of any gains or losses this transaction may have to the Company's financial statements. The net carrying value of the designated fixed assets as of November 24, 2019 is $13.0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Rafael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24, 2019 the Company closed escrow on the San Rafael property held for sale. The Company received cash proceeds of $2.4 million in connection with the sale. The disposal did not have a material impact to the Company’s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2, 2019, the Company entered into an interest rate swap contract (the “2019 Swap”) with BMO at a notional amount of $110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2019 Swap has the effect of changing the Company’s Term Loan obligation from a variable interest rate to a fixed 30-day LIBOR rate of 1.53%.</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783"/>
        <w:spacing w:after="0" w:line="312" w:lineRule="auto"/>
        <w:rPr>
          <w:sz w:val="20"/>
          <w:szCs w:val="20"/>
          <w:color w:val="auto"/>
        </w:rPr>
      </w:pPr>
      <w:r>
        <w:rPr>
          <w:rFonts w:ascii="Arial" w:cs="Arial" w:eastAsia="Arial" w:hAnsi="Arial"/>
          <w:sz w:val="16"/>
          <w:szCs w:val="16"/>
          <w:color w:val="auto"/>
        </w:rPr>
        <w:t>The following discussion should be read in conjunction with the unaudited consolidated financial statements and accompanying notes included in Part I, Item 1, of this Form 10-Q and the audited consolidated financial statements and accompanying notes and Management’s Discussion and Analysis of Financial Condition and Results of Operations included in Landec’s Annual Report on Form 10-K for the fiscal year ended May 26, 2019.</w:t>
      </w:r>
    </w:p>
    <w:p>
      <w:pPr>
        <w:spacing w:after="0" w:line="106" w:lineRule="exact"/>
        <w:rPr>
          <w:sz w:val="20"/>
          <w:szCs w:val="20"/>
          <w:color w:val="auto"/>
        </w:rPr>
      </w:pPr>
    </w:p>
    <w:p>
      <w:pPr>
        <w:jc w:val="both"/>
        <w:ind w:firstLine="783"/>
        <w:spacing w:after="0" w:line="276" w:lineRule="auto"/>
        <w:rPr>
          <w:sz w:val="20"/>
          <w:szCs w:val="20"/>
          <w:color w:val="auto"/>
        </w:rPr>
      </w:pPr>
      <w:r>
        <w:rPr>
          <w:rFonts w:ascii="Arial" w:cs="Arial" w:eastAsia="Arial" w:hAnsi="Arial"/>
          <w:sz w:val="17"/>
          <w:szCs w:val="17"/>
          <w:color w:val="auto"/>
        </w:rPr>
        <w:t>Except for the historical information contained herein, the matters discussed in this report are forward-looking statements within the meaning of Section 21E of the Securities Exchange Act of 1934. These forward-looking statements involve certain risks and uncertainties that could cause actual results to differ materially from those in the forward-looking statements. Potential risks and uncertainties include, without limitation, those mentioned in this Form 10-Q and those mentioned in Landec’s Annual Report on Form 10-K for the fiscal year ended May 26, 2019. Landec undertakes no obligation to update or revise any forward-looking statements in order to reflect events or circumstances that may arise after the date of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There have been no material changes to the Company's critical accounting policies and use of estimates from those disclosed in the Company’s Form 10-K for the fiscal year ended May 26, 2019. For a discussion of our critical accounting policies and use of estimates, refer to Management’s Discussion and Analysis of Financial Condition and Results of Operations – Critical Accounting Policies and Use of Estimates in Part II, Item 7 of the Company’s Annual Report on Form 10-K for the fiscal year ended May 26,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firstLine="783"/>
        <w:spacing w:after="0" w:line="312" w:lineRule="auto"/>
        <w:rPr>
          <w:sz w:val="20"/>
          <w:szCs w:val="20"/>
          <w:color w:val="auto"/>
        </w:rPr>
      </w:pPr>
      <w:r>
        <w:rPr>
          <w:rFonts w:ascii="Arial" w:cs="Arial" w:eastAsia="Arial" w:hAnsi="Arial"/>
          <w:sz w:val="16"/>
          <w:szCs w:val="16"/>
          <w:color w:val="auto"/>
        </w:rPr>
        <w:t>The Company is subject to several recently issued accounting pronouncements. Note 1 – Organization, Basis of Presentation, and Summary of Significant Accounting Policies – Recently Adopted Accounting Pronouncements of the Notes to the Consolidated Financial Statements which is contained in Part I, Item 1 of this Quarterly Report on Form 10-Q, describes these new accounting pronouncements and is incorporated herein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89" w:lineRule="exact"/>
        <w:rPr>
          <w:sz w:val="20"/>
          <w:szCs w:val="20"/>
          <w:color w:val="auto"/>
        </w:rPr>
      </w:pPr>
    </w:p>
    <w:p>
      <w:pPr>
        <w:jc w:val="both"/>
        <w:ind w:firstLine="783"/>
        <w:spacing w:after="0" w:line="257" w:lineRule="auto"/>
        <w:rPr>
          <w:sz w:val="20"/>
          <w:szCs w:val="20"/>
          <w:color w:val="auto"/>
        </w:rPr>
      </w:pPr>
      <w:r>
        <w:rPr>
          <w:rFonts w:ascii="Arial" w:cs="Arial" w:eastAsia="Arial" w:hAnsi="Arial"/>
          <w:sz w:val="18"/>
          <w:szCs w:val="18"/>
          <w:color w:val="auto"/>
        </w:rPr>
        <w:t>Landec Corporation and its subsidiaries (“Landec” or the “Company”) design, develop, manufacture and sell differentiated health and wellness products for food and biomaterials markets. There continues to be a dramatic shift in consumer behavior to healthier eating habits and preventive wellness to improve quality of life. In our Curation Foods, Inc. ("Curation Foods") business, we are committed to offering healthy, fresh produce products conveniently packaged to consumers. In our Lifecore Biomedical, Inc. (“Lifecore”) biomaterials business, we commercialize products that enable people to stay more active as they grow older.</w:t>
      </w:r>
    </w:p>
    <w:p>
      <w:pPr>
        <w:spacing w:after="0" w:line="148"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Landec’s Curation Foods and Lifecore businesses utilize polymer chemistry technology, a key differentiating factor. Both businesses focus on business-to-business selling such as selling directly to retail grocery store chains and club stores for Curation Foods and directly to partners in the medical device and pharmaceutical markets for Lifecore.</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Landec has three reportable business segments – Curation Foods and Lifecore, each of which is described below, and an Other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Curation Foods</w:t>
      </w:r>
    </w:p>
    <w:p>
      <w:pPr>
        <w:spacing w:after="0" w:line="185" w:lineRule="exact"/>
        <w:rPr>
          <w:sz w:val="20"/>
          <w:szCs w:val="20"/>
          <w:color w:val="auto"/>
        </w:rPr>
      </w:pPr>
    </w:p>
    <w:p>
      <w:pPr>
        <w:jc w:val="both"/>
        <w:ind w:firstLine="810"/>
        <w:spacing w:after="0" w:line="226" w:lineRule="auto"/>
        <w:rPr>
          <w:sz w:val="20"/>
          <w:szCs w:val="20"/>
          <w:color w:val="auto"/>
        </w:rPr>
      </w:pPr>
      <w:r>
        <w:rPr>
          <w:rFonts w:ascii="Arial" w:cs="Arial" w:eastAsia="Arial" w:hAnsi="Arial"/>
          <w:sz w:val="18"/>
          <w:szCs w:val="18"/>
          <w:color w:val="auto"/>
        </w:rPr>
        <w:t>Curation Foods serves as the corporate umbrella for a portfolio of four natural food brands, including the Company’s flagship brand Eat Smart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 well as its three emerging natural foods brands, O Olive Oil &amp; Vinegar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O</w:t>
      </w:r>
      <w:r>
        <w:rPr>
          <w:rFonts w:ascii="Arial" w:cs="Arial" w:eastAsia="Arial" w:hAnsi="Arial"/>
          <w:sz w:val="18"/>
          <w:szCs w:val="18"/>
          <w:color w:val="auto"/>
        </w:rPr>
        <w:t>") products, and Yucatan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Cabo Fresh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authentic guacamole and avocado products that were acquired by the Company through the acquisition of Yucatan Foods, L.P.</w:t>
      </w:r>
    </w:p>
    <w:p>
      <w:pPr>
        <w:spacing w:after="0" w:line="163" w:lineRule="exact"/>
        <w:rPr>
          <w:sz w:val="20"/>
          <w:szCs w:val="20"/>
          <w:color w:val="auto"/>
        </w:rPr>
      </w:pPr>
    </w:p>
    <w:p>
      <w:pPr>
        <w:jc w:val="both"/>
        <w:ind w:firstLine="810"/>
        <w:spacing w:after="0" w:line="302" w:lineRule="auto"/>
        <w:rPr>
          <w:sz w:val="20"/>
          <w:szCs w:val="20"/>
          <w:color w:val="auto"/>
        </w:rPr>
      </w:pPr>
      <w:r>
        <w:rPr>
          <w:rFonts w:ascii="Arial" w:cs="Arial" w:eastAsia="Arial" w:hAnsi="Arial"/>
          <w:sz w:val="16"/>
          <w:szCs w:val="16"/>
          <w:color w:val="auto"/>
        </w:rPr>
        <w:t xml:space="preserve">The Company sells specialty packaged Eat Smart branded salads and private label fresh-cut vegetables and whole produce to retailers, club stores, and food service operators, primarily in the United States and Canada. The Company also sells premier California specialty </w:t>
      </w:r>
      <w:r>
        <w:rPr>
          <w:rFonts w:ascii="Arial" w:cs="Arial" w:eastAsia="Arial" w:hAnsi="Arial"/>
          <w:sz w:val="16"/>
          <w:szCs w:val="16"/>
          <w:i w:val="1"/>
          <w:iCs w:val="1"/>
          <w:color w:val="auto"/>
        </w:rPr>
        <w:t>O</w:t>
      </w:r>
      <w:r>
        <w:rPr>
          <w:rFonts w:ascii="Arial" w:cs="Arial" w:eastAsia="Arial" w:hAnsi="Arial"/>
          <w:sz w:val="16"/>
          <w:szCs w:val="16"/>
          <w:color w:val="auto"/>
        </w:rPr>
        <w:t xml:space="preserve"> olive oils and wine vinegars to natural food, conventional grocery and mass retail stores primarily in the United States and Canada. The majority of Yucatan and Cabo Fresh guacamole and avocado food products are sold in the U.S. grocery channel, but they are also sold in U.S. mass retail, Canadian grocery retail and foodservice channels.</w:t>
      </w:r>
    </w:p>
    <w:p>
      <w:pPr>
        <w:spacing w:after="0" w:line="114" w:lineRule="exact"/>
        <w:rPr>
          <w:sz w:val="20"/>
          <w:szCs w:val="20"/>
          <w:color w:val="auto"/>
        </w:rPr>
      </w:pPr>
    </w:p>
    <w:p>
      <w:pPr>
        <w:jc w:val="both"/>
        <w:ind w:firstLine="810"/>
        <w:spacing w:after="0" w:line="293" w:lineRule="auto"/>
        <w:rPr>
          <w:sz w:val="20"/>
          <w:szCs w:val="20"/>
          <w:color w:val="auto"/>
        </w:rPr>
      </w:pPr>
      <w:r>
        <w:rPr>
          <w:rFonts w:ascii="Arial" w:cs="Arial" w:eastAsia="Arial" w:hAnsi="Arial"/>
          <w:sz w:val="16"/>
          <w:szCs w:val="16"/>
          <w:color w:val="auto"/>
        </w:rPr>
        <w:t>The Eat Smart brand combines our proprietary BreatheWay</w:t>
      </w:r>
      <w:r>
        <w:rPr>
          <w:rFonts w:ascii="Arial" w:cs="Arial" w:eastAsia="Arial" w:hAnsi="Arial"/>
          <w:sz w:val="16"/>
          <w:szCs w:val="16"/>
          <w:color w:val="auto"/>
          <w:vertAlign w:val="superscript"/>
        </w:rPr>
        <w:t>®</w:t>
      </w:r>
      <w:r>
        <w:rPr>
          <w:rFonts w:ascii="Arial" w:cs="Arial" w:eastAsia="Arial" w:hAnsi="Arial"/>
          <w:sz w:val="16"/>
          <w:szCs w:val="16"/>
          <w:color w:val="auto"/>
        </w:rPr>
        <w:t xml:space="preserve"> food packaging technology with the capabilities of a large national food supplier and value-added produce processor to foodservice operators, as well as under private labels. Within the Eat Smart brand, produce is processed by trimming, washing, sorting, blending, and packaging into bags and trays that in most cases incorporate Landec’s BreatheWay membrane technology. The BreatheWay membrane increases shelf-life and reduces shrink (waste) for retailers and helps to ensure that consumers receive fresh produce by the time the product makes its way through the distribution chain. Curation Foods also generates revenue from the sale and/or use of its BreatheWay technology by partners such as Windset Holding 2010 Ltd., a Canadian corporation (“Windset”), for packaging of greenhouse grown cucumbers and peppers.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Lifecore</w:t>
      </w:r>
    </w:p>
    <w:p>
      <w:pPr>
        <w:spacing w:after="0" w:line="185" w:lineRule="exact"/>
        <w:rPr>
          <w:sz w:val="20"/>
          <w:szCs w:val="20"/>
          <w:color w:val="auto"/>
        </w:rPr>
      </w:pPr>
    </w:p>
    <w:p>
      <w:pPr>
        <w:jc w:val="both"/>
        <w:ind w:firstLine="783"/>
        <w:spacing w:after="0" w:line="257" w:lineRule="auto"/>
        <w:rPr>
          <w:sz w:val="20"/>
          <w:szCs w:val="20"/>
          <w:color w:val="auto"/>
        </w:rPr>
      </w:pPr>
      <w:r>
        <w:rPr>
          <w:rFonts w:ascii="Arial" w:cs="Arial" w:eastAsia="Arial" w:hAnsi="Arial"/>
          <w:sz w:val="18"/>
          <w:szCs w:val="18"/>
          <w:color w:val="auto"/>
        </w:rPr>
        <w:t>Lifecore operates our biomaterials business and is involved in the development and manufacture of pharmaceutical-grade sodium hyaluronate (“HA”) products and providing contract development and aseptic manufacturing services. Sodium hyaluronate is a naturally occurring polysaccharide that is widely distributed in the extracellular matrix in animals and humans. Based upon Lifecore’s expertise working with highly viscous HA, the Company specializes in fermentation and aseptic formulation, filling, and packaging services, as a contract development and manufacturing organization (“CDMO”), for difficult to handle (viscous) materials filled in finished dose vials and syringes.</w:t>
      </w:r>
    </w:p>
    <w:p>
      <w:pPr>
        <w:spacing w:after="0" w:line="148"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Landec was incorporated in California on October 31, 1986 and reincorporated as a Delaware corporation on November 6, 2008. Our common stock is listed on The NASDAQ Global Select Market under the symbol “LNDC”. The Company’s principal executive offices are located at 5201 Great America Parkway, Suite 232, Santa Clara, California 95054, and the telephone number is (650) 306-1650.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Core Business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Landec operates its business in three reportable business segments: Curation Foods, Lifecore, and Other.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Curation Foods</w:t>
      </w:r>
    </w:p>
    <w:p>
      <w:pPr>
        <w:spacing w:after="0" w:line="185"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 xml:space="preserve">The Curation Foods business is comprised of Curation Foods' packaged fresh vegetables business sold primarily under the Eat Smart brand, </w:t>
      </w:r>
      <w:r>
        <w:rPr>
          <w:rFonts w:ascii="Arial" w:cs="Arial" w:eastAsia="Arial" w:hAnsi="Arial"/>
          <w:sz w:val="18"/>
          <w:szCs w:val="18"/>
          <w:i w:val="1"/>
          <w:iCs w:val="1"/>
          <w:color w:val="auto"/>
        </w:rPr>
        <w:t>O</w:t>
      </w:r>
      <w:r>
        <w:rPr>
          <w:rFonts w:ascii="Arial" w:cs="Arial" w:eastAsia="Arial" w:hAnsi="Arial"/>
          <w:sz w:val="18"/>
          <w:szCs w:val="18"/>
          <w:color w:val="auto"/>
        </w:rPr>
        <w:t xml:space="preserve"> branded olive oils and wine vinegars, and Yucatan and Cabo Fresh guacamole and avocado food products.</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Eat Smart Packaged Fresh Vegetables</w:t>
      </w:r>
    </w:p>
    <w:p>
      <w:pPr>
        <w:spacing w:after="0" w:line="185" w:lineRule="exact"/>
        <w:rPr>
          <w:sz w:val="20"/>
          <w:szCs w:val="20"/>
          <w:color w:val="auto"/>
        </w:rPr>
      </w:pPr>
    </w:p>
    <w:p>
      <w:pPr>
        <w:jc w:val="both"/>
        <w:ind w:firstLine="783"/>
        <w:spacing w:after="0" w:line="286" w:lineRule="auto"/>
        <w:rPr>
          <w:sz w:val="20"/>
          <w:szCs w:val="20"/>
          <w:color w:val="auto"/>
        </w:rPr>
      </w:pPr>
      <w:r>
        <w:rPr>
          <w:rFonts w:ascii="Arial" w:cs="Arial" w:eastAsia="Arial" w:hAnsi="Arial"/>
          <w:sz w:val="17"/>
          <w:szCs w:val="17"/>
          <w:color w:val="auto"/>
        </w:rPr>
        <w:t>Based in Santa Maria, California, Curation Foods’ primary business is the processing, marketing and selling of vegetable-based salads and fresh-cut and whole vegetable products primarily packaged in its proprietary BreatheWay packaging. The packaged fresh vegetables business markets a variety of salads and fresh-cut and whole vegetables to the top retail grocery chains, club stores, and food service operators.</w:t>
      </w:r>
    </w:p>
    <w:p>
      <w:pPr>
        <w:spacing w:after="0" w:line="125"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There are four major distinguishing characteristics of Curation Foods that provide competitive advantages in the Company's Eat Smart packaged fresh vegetables market:</w:t>
      </w:r>
    </w:p>
    <w:p>
      <w:pPr>
        <w:spacing w:after="0" w:line="126"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b w:val="1"/>
          <w:bCs w:val="1"/>
          <w:color w:val="auto"/>
        </w:rPr>
        <w:t xml:space="preserve">Packaged Salads and Vegetables Supplier: </w:t>
      </w:r>
      <w:r>
        <w:rPr>
          <w:rFonts w:ascii="Arial" w:cs="Arial" w:eastAsia="Arial" w:hAnsi="Arial"/>
          <w:sz w:val="18"/>
          <w:szCs w:val="18"/>
          <w:color w:val="auto"/>
        </w:rPr>
        <w:t>Curation Foods has structured its packaged fresh vegetables business as a marketer and seller of</w:t>
      </w:r>
      <w:r>
        <w:rPr>
          <w:rFonts w:ascii="Arial" w:cs="Arial" w:eastAsia="Arial" w:hAnsi="Arial"/>
          <w:sz w:val="18"/>
          <w:szCs w:val="18"/>
          <w:b w:val="1"/>
          <w:bCs w:val="1"/>
          <w:color w:val="auto"/>
        </w:rPr>
        <w:t xml:space="preserve"> </w:t>
      </w:r>
      <w:r>
        <w:rPr>
          <w:rFonts w:ascii="Arial" w:cs="Arial" w:eastAsia="Arial" w:hAnsi="Arial"/>
          <w:sz w:val="18"/>
          <w:szCs w:val="18"/>
          <w:color w:val="auto"/>
        </w:rPr>
        <w:t>branded and private label blended, salads and fresh-cut and whole vegetable products. It is focused on selling products primarily under its Eat Smart brand and private label brands. As retail grocery chains, club stores and food service operators consolidate, Curation Foods is well positioned as a single source of a broad range of products.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both"/>
        <w:ind w:left="820"/>
        <w:spacing w:after="0" w:line="258" w:lineRule="auto"/>
        <w:rPr>
          <w:sz w:val="20"/>
          <w:szCs w:val="20"/>
          <w:color w:val="auto"/>
        </w:rPr>
      </w:pPr>
      <w:r>
        <w:rPr>
          <w:rFonts w:ascii="Arial" w:cs="Arial" w:eastAsia="Arial" w:hAnsi="Arial"/>
          <w:sz w:val="18"/>
          <w:szCs w:val="18"/>
          <w:b w:val="1"/>
          <w:bCs w:val="1"/>
          <w:color w:val="auto"/>
        </w:rPr>
        <w:t xml:space="preserve">Nationwide Processing and Distribution: </w:t>
      </w:r>
      <w:r>
        <w:rPr>
          <w:rFonts w:ascii="Arial" w:cs="Arial" w:eastAsia="Arial" w:hAnsi="Arial"/>
          <w:sz w:val="18"/>
          <w:szCs w:val="18"/>
          <w:color w:val="auto"/>
        </w:rPr>
        <w:t>Curation Foods has strategically invested in its salads and fresh-cut vegetables business. Curation</w:t>
      </w:r>
      <w:r>
        <w:rPr>
          <w:rFonts w:ascii="Arial" w:cs="Arial" w:eastAsia="Arial" w:hAnsi="Arial"/>
          <w:sz w:val="18"/>
          <w:szCs w:val="18"/>
          <w:b w:val="1"/>
          <w:bCs w:val="1"/>
          <w:color w:val="auto"/>
        </w:rPr>
        <w:t xml:space="preserve"> </w:t>
      </w:r>
      <w:r>
        <w:rPr>
          <w:rFonts w:ascii="Arial" w:cs="Arial" w:eastAsia="Arial" w:hAnsi="Arial"/>
          <w:sz w:val="18"/>
          <w:szCs w:val="18"/>
          <w:color w:val="auto"/>
        </w:rPr>
        <w:t>Foods’ largest processing plant is in Guadalupe, California, and is automated with state-of-the-art vegetable processing equipment in one of the lower cost, growing regions in California, the Santa Maria Valley. Curation Foods also has three East Coast processing facilities and five East Coast distribution centers for nationwide delivery of all of its packaged salads and vegetable products in order to meet the next-day delivery needs of customers.</w:t>
      </w:r>
    </w:p>
    <w:p>
      <w:pPr>
        <w:spacing w:after="0" w:line="143"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b w:val="1"/>
          <w:bCs w:val="1"/>
          <w:color w:val="auto"/>
        </w:rPr>
        <w:t xml:space="preserve">Expanded Product Line Using Technology and Unique Blends: </w:t>
      </w:r>
      <w:r>
        <w:rPr>
          <w:rFonts w:ascii="Arial" w:cs="Arial" w:eastAsia="Arial" w:hAnsi="Arial"/>
          <w:sz w:val="18"/>
          <w:szCs w:val="18"/>
          <w:color w:val="auto"/>
        </w:rPr>
        <w:t>Curation Foods is introducing new salads and packaged vegetable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each year, and many of these products use our BreatheWay packaging technology to extend shelf-life. These new product offerings range from various sizes of fresh-cut bagged products, to vegetable trays, to whole produce, to vegetable salads and to snack packs. During the last twelve months, Curation Foods introduced six new unique products.</w:t>
      </w:r>
    </w:p>
    <w:p>
      <w:pPr>
        <w:spacing w:after="0" w:line="140" w:lineRule="exact"/>
        <w:rPr>
          <w:sz w:val="20"/>
          <w:szCs w:val="20"/>
          <w:color w:val="auto"/>
        </w:rPr>
      </w:pPr>
    </w:p>
    <w:p>
      <w:pPr>
        <w:jc w:val="both"/>
        <w:ind w:left="820"/>
        <w:spacing w:after="0" w:line="314" w:lineRule="auto"/>
        <w:rPr>
          <w:sz w:val="20"/>
          <w:szCs w:val="20"/>
          <w:color w:val="auto"/>
        </w:rPr>
      </w:pPr>
      <w:r>
        <w:rPr>
          <w:rFonts w:ascii="Arial" w:cs="Arial" w:eastAsia="Arial" w:hAnsi="Arial"/>
          <w:sz w:val="16"/>
          <w:szCs w:val="16"/>
          <w:b w:val="1"/>
          <w:bCs w:val="1"/>
          <w:color w:val="auto"/>
        </w:rPr>
        <w:t xml:space="preserve">Products Currently in Approximately 68% of North American Retail Grocery Stores: </w:t>
      </w:r>
      <w:r>
        <w:rPr>
          <w:rFonts w:ascii="Arial" w:cs="Arial" w:eastAsia="Arial" w:hAnsi="Arial"/>
          <w:sz w:val="16"/>
          <w:szCs w:val="16"/>
          <w:color w:val="auto"/>
        </w:rPr>
        <w:t>Curation Foods' packaged fresh vegetables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has products in approximately 68% of all North American retail grocery stores. This gives Curation Foods the opportunity to sell new products to existing customers and to increase distribution of its approximately 120 unique packaged fresh vegetable products within those customers.</w:t>
      </w:r>
    </w:p>
    <w:p>
      <w:pPr>
        <w:spacing w:after="0" w:line="106" w:lineRule="exact"/>
        <w:rPr>
          <w:sz w:val="20"/>
          <w:szCs w:val="20"/>
          <w:color w:val="auto"/>
        </w:rPr>
      </w:pPr>
    </w:p>
    <w:p>
      <w:pPr>
        <w:jc w:val="both"/>
        <w:ind w:firstLine="783"/>
        <w:spacing w:after="0" w:line="273" w:lineRule="auto"/>
        <w:rPr>
          <w:sz w:val="20"/>
          <w:szCs w:val="20"/>
          <w:color w:val="auto"/>
        </w:rPr>
      </w:pPr>
      <w:r>
        <w:rPr>
          <w:rFonts w:ascii="Arial" w:cs="Arial" w:eastAsia="Arial" w:hAnsi="Arial"/>
          <w:sz w:val="17"/>
          <w:szCs w:val="17"/>
          <w:color w:val="auto"/>
        </w:rPr>
        <w:t>Most vegetable products packaged in the Company’s BreatheWay packaging have a shelf-life of approximately 17 days. In addition to packaging innovation, the Company has developed innovative blends and combinations of vegetables that are sold in flexible film bags or rigid trays. The Company has launched a family of salad kits that are comprised of “superfood” mixtures of vegetables with healthy toppings and dressings. The first salad kit to launch under the Eat Smart brand was Sweet Kale Salad, which now has significant distribution throughout club and retail stores in North America. Additionally, we have launched under the Eat Smart brand several other superfood salad kits including Chopped and Crumble salads</w:t>
      </w:r>
      <w:r>
        <w:rPr>
          <w:rFonts w:ascii="Arial" w:cs="Arial" w:eastAsia="Arial" w:hAnsi="Arial"/>
          <w:sz w:val="13"/>
          <w:szCs w:val="13"/>
          <w:color w:val="auto"/>
        </w:rPr>
        <w:t>™</w:t>
      </w:r>
      <w:r>
        <w:rPr>
          <w:rFonts w:ascii="Arial" w:cs="Arial" w:eastAsia="Arial" w:hAnsi="Arial"/>
          <w:sz w:val="17"/>
          <w:szCs w:val="17"/>
          <w:color w:val="auto"/>
        </w:rPr>
        <w:t>, Southwest Salad, and Asian Sesame Salad to name a few and, more recently, a line of single-serve salads under our Salad Shake-Ups!</w:t>
      </w:r>
      <w:r>
        <w:rPr>
          <w:rFonts w:ascii="Arial" w:cs="Arial" w:eastAsia="Arial" w:hAnsi="Arial"/>
          <w:sz w:val="13"/>
          <w:szCs w:val="13"/>
          <w:color w:val="auto"/>
        </w:rPr>
        <w:t>™</w:t>
      </w:r>
      <w:r>
        <w:rPr>
          <w:rFonts w:ascii="Arial" w:cs="Arial" w:eastAsia="Arial" w:hAnsi="Arial"/>
          <w:sz w:val="17"/>
          <w:szCs w:val="17"/>
          <w:color w:val="auto"/>
        </w:rPr>
        <w:t xml:space="preserve"> brand. The Company’s expertise includes accessing leading culinary experts and nutritionists nationally to help in the new product development process. We believe that the Company’s new products are “on trend” and strong market acceptance supports this belief. Recent statistics show that more than two-thirds of adults are considered to be overweight or obese. More and more consumers are beginning to make better food choices in their schools, homes, and in restaurants and that is where our Eat Smart products can fit into consumers’ daily healthy food choices.</w:t>
      </w:r>
    </w:p>
    <w:p>
      <w:pPr>
        <w:spacing w:after="0" w:line="140"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Company also periodically licenses its BreatheWay packaging technology to partners for packaging fruits and vegetables, and Windset for packaging peppers and cucumbers that are grown hydroponically in greenhouses. These packaging license relationships generate revenues either from product sales or royalties once commercialized. The Company is engaged in the testing and development of other BreatheWay products. Landec manufactures its BreatheWay packaging through selected qualified contract manufacturers.</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Windset</w:t>
      </w:r>
    </w:p>
    <w:p>
      <w:pPr>
        <w:spacing w:after="0" w:line="185" w:lineRule="exact"/>
        <w:rPr>
          <w:sz w:val="20"/>
          <w:szCs w:val="20"/>
          <w:color w:val="auto"/>
        </w:rPr>
      </w:pPr>
    </w:p>
    <w:p>
      <w:pPr>
        <w:jc w:val="both"/>
        <w:ind w:firstLine="783"/>
        <w:spacing w:after="0" w:line="297" w:lineRule="auto"/>
        <w:rPr>
          <w:sz w:val="20"/>
          <w:szCs w:val="20"/>
          <w:color w:val="auto"/>
        </w:rPr>
      </w:pPr>
      <w:r>
        <w:rPr>
          <w:rFonts w:ascii="Arial" w:cs="Arial" w:eastAsia="Arial" w:hAnsi="Arial"/>
          <w:sz w:val="16"/>
          <w:szCs w:val="16"/>
          <w:color w:val="auto"/>
        </w:rPr>
        <w:t>The Company believes that hydroponically-grown produce using Windset’s know-how and growing practices will result in higher yields with competitive growing costs that will provide dependable year-round supply to Windset’s customers. In addition, the produce grown in Windset’s greenhouses uses significantly less water than field grown crops and has a very high safety profile as no soil is used in the growing process. Windset owns and operates greenhouses in British Columbia, Canada and California. In addition to growing produce in its own greenhouses, Windset has numerous marketing arrangements with other greenhouse growers and utilizes buy/sell arrangements to meet fluctuation in demand from their customers.</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O Olive Oils &amp; Vinegars (O)</w:t>
      </w:r>
    </w:p>
    <w:p>
      <w:pPr>
        <w:spacing w:after="0" w:line="185" w:lineRule="exact"/>
        <w:rPr>
          <w:sz w:val="20"/>
          <w:szCs w:val="20"/>
          <w:color w:val="auto"/>
        </w:rPr>
      </w:pPr>
    </w:p>
    <w:p>
      <w:pPr>
        <w:jc w:val="both"/>
        <w:ind w:right="20" w:firstLine="783"/>
        <w:spacing w:after="0" w:line="308" w:lineRule="auto"/>
        <w:rPr>
          <w:sz w:val="20"/>
          <w:szCs w:val="20"/>
          <w:color w:val="auto"/>
        </w:rPr>
      </w:pPr>
      <w:r>
        <w:rPr>
          <w:rFonts w:ascii="Arial" w:cs="Arial" w:eastAsia="Arial" w:hAnsi="Arial"/>
          <w:sz w:val="17"/>
          <w:szCs w:val="17"/>
          <w:color w:val="auto"/>
        </w:rPr>
        <w:t xml:space="preserve">The Company acquired </w:t>
      </w:r>
      <w:r>
        <w:rPr>
          <w:rFonts w:ascii="Arial" w:cs="Arial" w:eastAsia="Arial" w:hAnsi="Arial"/>
          <w:sz w:val="17"/>
          <w:szCs w:val="17"/>
          <w:i w:val="1"/>
          <w:iCs w:val="1"/>
          <w:color w:val="auto"/>
        </w:rPr>
        <w:t>O</w:t>
      </w:r>
      <w:r>
        <w:rPr>
          <w:rFonts w:ascii="Arial" w:cs="Arial" w:eastAsia="Arial" w:hAnsi="Arial"/>
          <w:sz w:val="17"/>
          <w:szCs w:val="17"/>
          <w:color w:val="auto"/>
        </w:rPr>
        <w:t xml:space="preserve"> on March 1, 2017. </w:t>
      </w:r>
      <w:r>
        <w:rPr>
          <w:rFonts w:ascii="Arial" w:cs="Arial" w:eastAsia="Arial" w:hAnsi="Arial"/>
          <w:sz w:val="17"/>
          <w:szCs w:val="17"/>
          <w:i w:val="1"/>
          <w:iCs w:val="1"/>
          <w:color w:val="auto"/>
        </w:rPr>
        <w:t>O</w:t>
      </w:r>
      <w:r>
        <w:rPr>
          <w:rFonts w:ascii="Arial" w:cs="Arial" w:eastAsia="Arial" w:hAnsi="Arial"/>
          <w:sz w:val="17"/>
          <w:szCs w:val="17"/>
          <w:color w:val="auto"/>
        </w:rPr>
        <w:t>, founded in 1995, is based in Petaluma, California, and is the premier producer of California specialty olive oils and wine vinegars. Its products are sold in conventional grocery and mass retail stores, primarily in the United States and Canada.</w: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Yucatan and Cabo Fresh</w:t>
      </w:r>
    </w:p>
    <w:p>
      <w:pPr>
        <w:spacing w:after="0" w:line="185" w:lineRule="exact"/>
        <w:rPr>
          <w:sz w:val="20"/>
          <w:szCs w:val="20"/>
          <w:color w:val="auto"/>
        </w:rPr>
      </w:pPr>
    </w:p>
    <w:p>
      <w:pPr>
        <w:jc w:val="both"/>
        <w:ind w:firstLine="783"/>
        <w:spacing w:after="0" w:line="312" w:lineRule="auto"/>
        <w:rPr>
          <w:sz w:val="20"/>
          <w:szCs w:val="20"/>
          <w:color w:val="auto"/>
        </w:rPr>
      </w:pPr>
      <w:r>
        <w:rPr>
          <w:rFonts w:ascii="Arial" w:cs="Arial" w:eastAsia="Arial" w:hAnsi="Arial"/>
          <w:sz w:val="16"/>
          <w:szCs w:val="16"/>
          <w:color w:val="auto"/>
        </w:rPr>
        <w:t>The Company acquired Yucatan Foods on December 1, 2018. Yucatan Foods, founded in 1991, is based in Los Angeles, California. As part of the acquisition of Yucatan Foods, Curation Foods acquired the newly built production facility in Guanajuato, Mexico. The Yucatan Foods business adds another double-digit growth platform, a lower-cost infrastructure in Mexico and higher margin product offerings that generally exhibit less sourcing volatility.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Lifecore</w:t>
      </w:r>
    </w:p>
    <w:p>
      <w:pPr>
        <w:spacing w:after="0" w:line="185"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Lifecore is involved in the manufacture of pharmaceutical-grade sodium hyaluronate in bulk form as well as formulated and filled syringes and vials for injectable products used in treating a broad spectrum of medical conditions and procedures. Lifecore leverages its fermentation process to manufacture premium, pharmaceutical-grade HA and uses its aseptic filling capabilities to deliver private-label HA and non-HA finished products to its customers.</w:t>
      </w:r>
    </w:p>
    <w:p>
      <w:pPr>
        <w:spacing w:after="0" w:line="146"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Lifecore provides product development services to its partners for HA-based, as well as non-HA based, aseptically formulated and filled products. These services include activities such as technology transfer, material component changes, analytical method development, formulation development, pilot studies, stability studies, process validation, and production of materials for clinical studies.</w:t>
      </w:r>
    </w:p>
    <w:p>
      <w:pPr>
        <w:spacing w:after="0" w:line="141"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Lifecore uses its fermentation process and aseptic formulation and filling expertise to be a leader in the development of HA-based products for multiple applications and to take advantage of non-HA device and drug opportunities which leverage its expertise in manufacturing and aseptic syringe filling capabilities. Elements of Lifecore’s strategy include the following:</w:t>
      </w:r>
    </w:p>
    <w:p>
      <w:pPr>
        <w:spacing w:after="0" w:line="137"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b w:val="1"/>
          <w:bCs w:val="1"/>
          <w:color w:val="auto"/>
        </w:rPr>
        <w:t xml:space="preserve">Establish strategic relationships with market leaders: </w:t>
      </w:r>
      <w:r>
        <w:rPr>
          <w:rFonts w:ascii="Arial" w:cs="Arial" w:eastAsia="Arial" w:hAnsi="Arial"/>
          <w:sz w:val="18"/>
          <w:szCs w:val="18"/>
          <w:color w:val="auto"/>
        </w:rPr>
        <w:t>Lifecore will continue to develop applications for products with partners who have strong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sales, and distribution capabilities to end-user markets. Through its strong reputation and history of providing pharmaceutical grade HA and products, Lifecore has been able to establish long-term relationships with the market leading ophthalmic surgical companies, and leverages those partnerships to attract new relationships in other medical markets.</w:t>
      </w:r>
    </w:p>
    <w:p>
      <w:pPr>
        <w:spacing w:after="0" w:line="140" w:lineRule="exact"/>
        <w:rPr>
          <w:sz w:val="20"/>
          <w:szCs w:val="20"/>
          <w:color w:val="auto"/>
        </w:rPr>
      </w:pPr>
    </w:p>
    <w:p>
      <w:pPr>
        <w:jc w:val="both"/>
        <w:ind w:left="820"/>
        <w:spacing w:after="0" w:line="281" w:lineRule="auto"/>
        <w:rPr>
          <w:sz w:val="20"/>
          <w:szCs w:val="20"/>
          <w:color w:val="auto"/>
        </w:rPr>
      </w:pPr>
      <w:r>
        <w:rPr>
          <w:rFonts w:ascii="Arial" w:cs="Arial" w:eastAsia="Arial" w:hAnsi="Arial"/>
          <w:sz w:val="17"/>
          <w:szCs w:val="17"/>
          <w:b w:val="1"/>
          <w:bCs w:val="1"/>
          <w:color w:val="auto"/>
        </w:rPr>
        <w:t xml:space="preserve">Expand medical applications for HA: </w:t>
      </w:r>
      <w:r>
        <w:rPr>
          <w:rFonts w:ascii="Arial" w:cs="Arial" w:eastAsia="Arial" w:hAnsi="Arial"/>
          <w:sz w:val="17"/>
          <w:szCs w:val="17"/>
          <w:color w:val="auto"/>
        </w:rPr>
        <w:t>Due to the growing knowledge of the unique characteristics of HA, and the role it plays in normal</w:t>
      </w:r>
      <w:r>
        <w:rPr>
          <w:rFonts w:ascii="Arial" w:cs="Arial" w:eastAsia="Arial" w:hAnsi="Arial"/>
          <w:sz w:val="17"/>
          <w:szCs w:val="17"/>
          <w:b w:val="1"/>
          <w:bCs w:val="1"/>
          <w:color w:val="auto"/>
        </w:rPr>
        <w:t xml:space="preserve"> </w:t>
      </w:r>
      <w:r>
        <w:rPr>
          <w:rFonts w:ascii="Arial" w:cs="Arial" w:eastAsia="Arial" w:hAnsi="Arial"/>
          <w:sz w:val="17"/>
          <w:szCs w:val="17"/>
          <w:color w:val="auto"/>
        </w:rPr>
        <w:t>physiology, Lifecore continues to identify and pursue opportunities for the use of HA in other medical applications, such as wound care, aesthetic surgery, drug delivery, next generation orthopedics and device coatings and through sales to academic and corporate research customers. Further applications may involve expanding process development activity and/or additional licensing of technology.</w:t>
      </w:r>
    </w:p>
    <w:p>
      <w:pPr>
        <w:spacing w:after="0" w:line="124" w:lineRule="exact"/>
        <w:rPr>
          <w:sz w:val="20"/>
          <w:szCs w:val="20"/>
          <w:color w:val="auto"/>
        </w:rPr>
      </w:pPr>
    </w:p>
    <w:p>
      <w:pPr>
        <w:jc w:val="both"/>
        <w:ind w:left="820"/>
        <w:spacing w:after="0" w:line="258" w:lineRule="auto"/>
        <w:rPr>
          <w:sz w:val="20"/>
          <w:szCs w:val="20"/>
          <w:color w:val="auto"/>
        </w:rPr>
      </w:pPr>
      <w:r>
        <w:rPr>
          <w:rFonts w:ascii="Arial" w:cs="Arial" w:eastAsia="Arial" w:hAnsi="Arial"/>
          <w:sz w:val="18"/>
          <w:szCs w:val="18"/>
          <w:b w:val="1"/>
          <w:bCs w:val="1"/>
          <w:color w:val="auto"/>
        </w:rPr>
        <w:t xml:space="preserve">Utilize manufacturing infrastructure to pursue contract aseptic filling and fermentation opportunities: </w:t>
      </w:r>
      <w:r>
        <w:rPr>
          <w:rFonts w:ascii="Arial" w:cs="Arial" w:eastAsia="Arial" w:hAnsi="Arial"/>
          <w:sz w:val="18"/>
          <w:szCs w:val="18"/>
          <w:color w:val="auto"/>
        </w:rPr>
        <w:t>Lifecore has made strategic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its CDMO business focusing on extending its aseptic filling capacity and capabilities. It is investing in this segment to meet increasing partner demand and attract new contract filling opportunities outside of HA markets. Lifecore is using its manufacturing capabilities to provide contract manufacturing and development services to its partners in the area of sterile pre-filled syringes and vials, as well as, fermentation and purification requirements.</w:t>
      </w:r>
    </w:p>
    <w:p>
      <w:pPr>
        <w:spacing w:after="0" w:line="143"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b w:val="1"/>
          <w:bCs w:val="1"/>
          <w:color w:val="auto"/>
        </w:rPr>
        <w:t xml:space="preserve">Maintain flexibility in product development and supply relationships: </w:t>
      </w:r>
      <w:r>
        <w:rPr>
          <w:rFonts w:ascii="Arial" w:cs="Arial" w:eastAsia="Arial" w:hAnsi="Arial"/>
          <w:sz w:val="18"/>
          <w:szCs w:val="18"/>
          <w:color w:val="auto"/>
        </w:rPr>
        <w:t>Lifecore’s vertically integrated development and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allow it to establish a variety of contractual relationships with global corporate partners. Lifecore’s role in these relationships extends from supplying HA raw materials to providing technology transfer and development services to manufacturing aseptically filled, finished sterile products, and assuming full supply chain responsibilities.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Included in the Other segment is Corporate, which includes corporate general and administrative expenses, non-Curation Foods and non-Lifecore interest income, interest expense, and income tax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p>
      <w:pPr>
        <w:spacing w:after="0" w:line="189" w:lineRule="exact"/>
        <w:rPr>
          <w:sz w:val="20"/>
          <w:szCs w:val="20"/>
          <w:color w:val="auto"/>
        </w:rPr>
      </w:pPr>
    </w:p>
    <w:p>
      <w:pPr>
        <w:jc w:val="both"/>
        <w:ind w:right="20" w:firstLine="783"/>
        <w:spacing w:after="0" w:line="302" w:lineRule="auto"/>
        <w:rPr>
          <w:sz w:val="20"/>
          <w:szCs w:val="20"/>
          <w:color w:val="auto"/>
        </w:rPr>
      </w:pPr>
      <w:r>
        <w:rPr>
          <w:rFonts w:ascii="Arial" w:cs="Arial" w:eastAsia="Arial" w:hAnsi="Arial"/>
          <w:sz w:val="16"/>
          <w:szCs w:val="16"/>
          <w:color w:val="auto"/>
        </w:rPr>
        <w:t xml:space="preserve">Curation Foods revenues consist of revenues generated from (1) the sale of specialty packaged fresh-cut and whole processed vegetable products and salads that are washed and packaged in most cases in the Company’s proprietary BreatheWay packaging and sold primarily under the Eat Smart brand and various private labels, (2) </w:t>
      </w:r>
      <w:r>
        <w:rPr>
          <w:rFonts w:ascii="Arial" w:cs="Arial" w:eastAsia="Arial" w:hAnsi="Arial"/>
          <w:sz w:val="16"/>
          <w:szCs w:val="16"/>
          <w:i w:val="1"/>
          <w:iCs w:val="1"/>
          <w:color w:val="auto"/>
        </w:rPr>
        <w:t>O</w:t>
      </w:r>
      <w:r>
        <w:rPr>
          <w:rFonts w:ascii="Arial" w:cs="Arial" w:eastAsia="Arial" w:hAnsi="Arial"/>
          <w:sz w:val="16"/>
          <w:szCs w:val="16"/>
          <w:color w:val="auto"/>
        </w:rPr>
        <w:t xml:space="preserve"> olive oils and wine vinegars, and (3) Yucatan and Cabo Fresh branded guacamole and avocado products. In addition, the Curation Foods reportable business segment includes the revenues generated from the sale of BreatheWay packaging to license partners.</w:t>
      </w:r>
    </w:p>
    <w:p>
      <w:pPr>
        <w:spacing w:after="0" w:line="114"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Lifecore generates revenues from the development and manufacture of pharmaceutical-grade sodium hyaluronate (“HA”) products and providing contract development and aseptic manufacturing services to customers. Lifecore generates revenues from three integrated activities: (1) aseptically filled syringes and vials, (2) fermentation products, and (3) development activities.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i w:val="1"/>
                <w:iCs w:val="1"/>
                <w:color w:val="auto"/>
              </w:rPr>
              <w:t>(In thousands)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4"/>
                <w:szCs w:val="24"/>
                <w:color w:val="auto"/>
              </w:rPr>
            </w:pPr>
          </w:p>
        </w:tc>
        <w:tc>
          <w:tcPr>
            <w:tcW w:w="1280" w:type="dxa"/>
            <w:vAlign w:val="bottom"/>
            <w:gridSpan w:val="3"/>
          </w:tcPr>
          <w:p>
            <w:pPr>
              <w:ind w:left="60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ind w:left="280"/>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24"/>
                <w:szCs w:val="24"/>
                <w:color w:val="auto"/>
              </w:rPr>
            </w:pPr>
          </w:p>
        </w:tc>
        <w:tc>
          <w:tcPr>
            <w:tcW w:w="1280" w:type="dxa"/>
            <w:vAlign w:val="bottom"/>
            <w:gridSpan w:val="3"/>
          </w:tcPr>
          <w:p>
            <w:pPr>
              <w:ind w:left="60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November 25,</w:t>
            </w:r>
          </w:p>
        </w:tc>
        <w:tc>
          <w:tcPr>
            <w:tcW w:w="180" w:type="dxa"/>
            <w:vAlign w:val="bottom"/>
          </w:tcPr>
          <w:p>
            <w:pPr>
              <w:spacing w:after="0"/>
              <w:rPr>
                <w:sz w:val="19"/>
                <w:szCs w:val="19"/>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8"/>
                <w:szCs w:val="18"/>
                <w:color w:val="auto"/>
              </w:rPr>
              <w:t>Amount</w:t>
            </w:r>
          </w:p>
        </w:tc>
        <w:tc>
          <w:tcPr>
            <w:tcW w:w="64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November 25,</w:t>
            </w:r>
          </w:p>
        </w:tc>
        <w:tc>
          <w:tcPr>
            <w:tcW w:w="180" w:type="dxa"/>
            <w:vAlign w:val="bottom"/>
          </w:tcPr>
          <w:p>
            <w:pPr>
              <w:spacing w:after="0"/>
              <w:rPr>
                <w:sz w:val="19"/>
                <w:szCs w:val="19"/>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8"/>
                <w:szCs w:val="18"/>
                <w:color w:val="auto"/>
              </w:rPr>
              <w:t>Amount</w:t>
            </w:r>
          </w:p>
        </w:tc>
        <w:tc>
          <w:tcPr>
            <w:tcW w:w="64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Curation Foods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Lifecore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34,883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142,593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124,557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281,307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249,225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Curation Foods</w:t>
      </w:r>
    </w:p>
    <w:p>
      <w:pPr>
        <w:spacing w:after="0" w:line="185"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increase in Curation Foods' revenues for the three months ended November 24, 2019, compared to the same period last year, was primarily due to the addition of Yucatan Foods, which was acquired on December 1, 2018, that contributed $14.0 million in revenues and from a $6.2 million increase in salad revenues. These increases were partially offset by a $7.9 million decrease in packaged vegetables in bags and trays revenues and a $2.0 million decrease in green bean revenues due to weather-related events that resulted in lower yields.</w:t>
      </w:r>
    </w:p>
    <w:p>
      <w:pPr>
        <w:spacing w:after="0" w:line="146"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increase in Curation Foods' revenues for the six months ended November 24, 2019, compared to the same period last year, was primarily due to the addition of Yucatan Foods, which was acquired on December 1, 2018, that contributed $30.2 million in revenues and from an $8.4 million increase in salad revenues. These increases were partially offset by a $9.7 million decrease in packaged vegetables in bags and trays revenues and a $5.3 million decrease in green bean revenues due to weather-related events that resulted in lower yields.</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Lifecore</w:t>
      </w:r>
    </w:p>
    <w:p>
      <w:pPr>
        <w:spacing w:after="0" w:line="185"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increase in Lifecore’s revenues for the three months ended November 24, 2019, compared to the same period last year, was due to a $3.1 million increase in fermentation revenues as a result of the timing of shipments, a $2.7 million increase in development services revenues primarily due to increased activity with existing customers, and a $1.6 million increase in aseptic revenues due to increased demand.</w:t>
      </w:r>
    </w:p>
    <w:p>
      <w:pPr>
        <w:spacing w:after="0" w:line="141"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increase in Lifecore’s revenues for the six months ended November 24, 2019, compared to the same period last year, was due to a $4.5 million increase in development services revenues primarily due to increased activity with existing customers, a $1.5 million increase in aseptic revenues due to increased demand, and a $0.8 million increase in fermentation revenues as a result of the timing of shipments.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r>
        <w:rPr>
          <w:rFonts w:ascii="Arial" w:cs="Arial" w:eastAsia="Arial" w:hAnsi="Arial"/>
          <w:sz w:val="18"/>
          <w:szCs w:val="18"/>
          <w:color w:val="auto"/>
        </w:rPr>
        <w:t>:</w:t>
      </w:r>
    </w:p>
    <w:p>
      <w:pPr>
        <w:spacing w:after="0" w:line="189" w:lineRule="exact"/>
        <w:rPr>
          <w:sz w:val="20"/>
          <w:szCs w:val="20"/>
          <w:color w:val="auto"/>
        </w:rPr>
      </w:pPr>
    </w:p>
    <w:p>
      <w:pPr>
        <w:jc w:val="both"/>
        <w:ind w:firstLine="783"/>
        <w:spacing w:after="0" w:line="279" w:lineRule="auto"/>
        <w:rPr>
          <w:sz w:val="20"/>
          <w:szCs w:val="20"/>
          <w:color w:val="auto"/>
        </w:rPr>
      </w:pPr>
      <w:r>
        <w:rPr>
          <w:rFonts w:ascii="Arial" w:cs="Arial" w:eastAsia="Arial" w:hAnsi="Arial"/>
          <w:sz w:val="17"/>
          <w:szCs w:val="17"/>
          <w:color w:val="auto"/>
        </w:rPr>
        <w:t>There are numerous factors that can influence gross profit including product mix, customer mix, manufacturing costs, volume, sales discounts and charges for excess or obsolete inventory, to name a few. Many of these factors influence or are interrelated with other factors. The Company includes in cost of sales all of the following costs: raw materials (including produce, seeds, packaging, syringes and fermentation and purification supplies), direct labor, overhead (including indirect labor, depreciation, and facility-related costs) and shipping and shipping-related costs.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2220" w:type="dxa"/>
            <w:vAlign w:val="bottom"/>
            <w:gridSpan w:val="5"/>
          </w:tcPr>
          <w:p>
            <w:pPr>
              <w:ind w:left="18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1280" w:type="dxa"/>
            <w:vAlign w:val="bottom"/>
            <w:gridSpan w:val="3"/>
          </w:tcPr>
          <w:p>
            <w:pPr>
              <w:ind w:left="600"/>
              <w:spacing w:after="0"/>
              <w:rPr>
                <w:sz w:val="20"/>
                <w:szCs w:val="20"/>
                <w:color w:val="auto"/>
              </w:rPr>
            </w:pPr>
            <w:r>
              <w:rPr>
                <w:rFonts w:ascii="Arial" w:cs="Arial" w:eastAsia="Arial" w:hAnsi="Arial"/>
                <w:sz w:val="18"/>
                <w:szCs w:val="18"/>
                <w:color w:val="auto"/>
              </w:rPr>
              <w:t>Change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28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20"/>
                <w:szCs w:val="20"/>
                <w:color w:val="auto"/>
              </w:rPr>
            </w:pPr>
          </w:p>
        </w:tc>
        <w:tc>
          <w:tcPr>
            <w:tcW w:w="1280" w:type="dxa"/>
            <w:vAlign w:val="bottom"/>
            <w:gridSpan w:val="3"/>
          </w:tcPr>
          <w:p>
            <w:pPr>
              <w:ind w:left="620"/>
              <w:spacing w:after="0"/>
              <w:rPr>
                <w:sz w:val="20"/>
                <w:szCs w:val="20"/>
                <w:color w:val="auto"/>
              </w:rPr>
            </w:pPr>
            <w:r>
              <w:rPr>
                <w:rFonts w:ascii="Arial" w:cs="Arial" w:eastAsia="Arial" w:hAnsi="Arial"/>
                <w:sz w:val="18"/>
                <w:szCs w:val="18"/>
                <w:color w:val="auto"/>
              </w:rPr>
              <w:t>Change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November 25,</w:t>
            </w:r>
          </w:p>
        </w:tc>
        <w:tc>
          <w:tcPr>
            <w:tcW w:w="200" w:type="dxa"/>
            <w:vAlign w:val="bottom"/>
          </w:tcPr>
          <w:p>
            <w:pPr>
              <w:spacing w:after="0"/>
              <w:rPr>
                <w:sz w:val="19"/>
                <w:szCs w:val="19"/>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auto"/>
              </w:rPr>
              <w:t>Amount</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November 25,</w:t>
            </w:r>
          </w:p>
        </w:tc>
        <w:tc>
          <w:tcPr>
            <w:tcW w:w="200" w:type="dxa"/>
            <w:vAlign w:val="bottom"/>
          </w:tcPr>
          <w:p>
            <w:pPr>
              <w:spacing w:after="0"/>
              <w:rPr>
                <w:sz w:val="19"/>
                <w:szCs w:val="19"/>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8"/>
                <w:szCs w:val="18"/>
                <w:color w:val="auto"/>
              </w:rPr>
              <w:t>Amount</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ind w:left="1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Curation Foods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19,712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Lifecore</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280"/>
              <w:spacing w:after="0"/>
              <w:rPr>
                <w:sz w:val="20"/>
                <w:szCs w:val="20"/>
                <w:color w:val="auto"/>
              </w:rPr>
            </w:pPr>
            <w:r>
              <w:rPr>
                <w:rFonts w:ascii="Arial" w:cs="Arial" w:eastAsia="Arial" w:hAnsi="Arial"/>
                <w:sz w:val="18"/>
                <w:szCs w:val="18"/>
                <w:color w:val="auto"/>
              </w:rPr>
              <w:t>11,138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Total Gross Profit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30,850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Curation Foods</w:t>
      </w:r>
    </w:p>
    <w:p>
      <w:pPr>
        <w:spacing w:after="0" w:line="185" w:lineRule="exact"/>
        <w:rPr>
          <w:sz w:val="20"/>
          <w:szCs w:val="20"/>
          <w:color w:val="auto"/>
        </w:rPr>
      </w:pPr>
    </w:p>
    <w:p>
      <w:pPr>
        <w:jc w:val="both"/>
        <w:ind w:firstLine="783"/>
        <w:spacing w:after="0" w:line="288" w:lineRule="auto"/>
        <w:rPr>
          <w:sz w:val="20"/>
          <w:szCs w:val="20"/>
          <w:color w:val="auto"/>
        </w:rPr>
      </w:pPr>
      <w:r>
        <w:rPr>
          <w:rFonts w:ascii="Arial" w:cs="Arial" w:eastAsia="Arial" w:hAnsi="Arial"/>
          <w:sz w:val="16"/>
          <w:szCs w:val="16"/>
          <w:color w:val="auto"/>
        </w:rPr>
        <w:t>The decrease in gross profit for the Curation Foods business for the three months and six months ended November 24, 2019, compared to the same periods last year, was primarily due to (1) weather-related events impacting raw material supply, (2) the sale of higher cost avocado products that were produced during the fourth quarter of fiscal 2019 and first quarter of fiscal 2020 when the costs of avocados were substantially higher than current costs, and</w:t>
      </w:r>
    </w:p>
    <w:p>
      <w:pPr>
        <w:ind w:left="5560" w:right="4180" w:hanging="5552"/>
        <w:spacing w:after="0" w:line="511"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gross profit resulting from the decrease in packaged vegetables in bags and trays revenues. -30-</w:t>
      </w:r>
    </w:p>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Lifecore</w:t>
      </w:r>
    </w:p>
    <w:p>
      <w:pPr>
        <w:spacing w:after="0" w:line="185"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The increase in gross profit for the Lifecore business for the three months and six months ended November 24, 2019, compared to the same periods last year, was due to increased development services, fermentation, and aseptic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(R&amp;D):</w:t>
      </w:r>
    </w:p>
    <w:p>
      <w:pPr>
        <w:spacing w:after="0" w:line="185" w:lineRule="exact"/>
        <w:rPr>
          <w:sz w:val="20"/>
          <w:szCs w:val="20"/>
          <w:color w:val="auto"/>
        </w:rPr>
      </w:pPr>
    </w:p>
    <w:p>
      <w:pPr>
        <w:jc w:val="both"/>
        <w:ind w:firstLine="783"/>
        <w:spacing w:after="0" w:line="279" w:lineRule="auto"/>
        <w:rPr>
          <w:sz w:val="20"/>
          <w:szCs w:val="20"/>
          <w:color w:val="auto"/>
        </w:rPr>
      </w:pPr>
      <w:r>
        <w:rPr>
          <w:rFonts w:ascii="Arial" w:cs="Arial" w:eastAsia="Arial" w:hAnsi="Arial"/>
          <w:sz w:val="17"/>
          <w:szCs w:val="17"/>
          <w:color w:val="auto"/>
        </w:rPr>
        <w:t>R&amp;D consists primarily of product development and commercialization initiatives. R&amp;D efforts in our Curation Foods business are primarily focused on innovating our current product lines and on the Company’s proprietary BreatheWay membranes used for packaging produce, with a focus on extending the shelf-life of sensitive vegetables and fruit. In the Lifecore business, the R&amp;D efforts are focused on new products and applications for HA-based and non-HA biomaterials. For Other, the R&amp;D efforts are primarily focused on creating and developing new innovative lines of products.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Change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28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20"/>
                <w:szCs w:val="20"/>
                <w:color w:val="auto"/>
              </w:rPr>
            </w:pPr>
          </w:p>
        </w:tc>
        <w:tc>
          <w:tcPr>
            <w:tcW w:w="1280" w:type="dxa"/>
            <w:vAlign w:val="bottom"/>
            <w:gridSpan w:val="3"/>
          </w:tcPr>
          <w:p>
            <w:pPr>
              <w:ind w:left="620"/>
              <w:spacing w:after="0"/>
              <w:rPr>
                <w:sz w:val="20"/>
                <w:szCs w:val="20"/>
                <w:color w:val="auto"/>
              </w:rPr>
            </w:pPr>
            <w:r>
              <w:rPr>
                <w:rFonts w:ascii="Arial" w:cs="Arial" w:eastAsia="Arial" w:hAnsi="Arial"/>
                <w:sz w:val="18"/>
                <w:szCs w:val="18"/>
                <w:color w:val="auto"/>
              </w:rPr>
              <w:t>Change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November 25,</w:t>
            </w:r>
          </w:p>
        </w:tc>
        <w:tc>
          <w:tcPr>
            <w:tcW w:w="200" w:type="dxa"/>
            <w:vAlign w:val="bottom"/>
          </w:tcPr>
          <w:p>
            <w:pPr>
              <w:spacing w:after="0"/>
              <w:rPr>
                <w:sz w:val="19"/>
                <w:szCs w:val="19"/>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8"/>
                <w:szCs w:val="18"/>
                <w:color w:val="auto"/>
              </w:rPr>
              <w:t>Amount</w:t>
            </w:r>
          </w:p>
        </w:tc>
        <w:tc>
          <w:tcPr>
            <w:tcW w:w="6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November 25,</w:t>
            </w:r>
          </w:p>
        </w:tc>
        <w:tc>
          <w:tcPr>
            <w:tcW w:w="200" w:type="dxa"/>
            <w:vAlign w:val="bottom"/>
          </w:tcPr>
          <w:p>
            <w:pPr>
              <w:spacing w:after="0"/>
              <w:rPr>
                <w:sz w:val="19"/>
                <w:szCs w:val="19"/>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8"/>
                <w:szCs w:val="18"/>
                <w:color w:val="auto"/>
              </w:rPr>
              <w:t>Amount</w:t>
            </w:r>
          </w:p>
        </w:tc>
        <w:tc>
          <w:tcPr>
            <w:tcW w:w="66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Curation Foods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Lifecore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7"/>
        </w:trPr>
        <w:tc>
          <w:tcPr>
            <w:tcW w:w="20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Total R&amp;D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5,643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783"/>
        <w:spacing w:after="0" w:line="286" w:lineRule="auto"/>
        <w:rPr>
          <w:sz w:val="20"/>
          <w:szCs w:val="20"/>
          <w:color w:val="auto"/>
        </w:rPr>
      </w:pPr>
      <w:r>
        <w:rPr>
          <w:rFonts w:ascii="Arial" w:cs="Arial" w:eastAsia="Arial" w:hAnsi="Arial"/>
          <w:sz w:val="17"/>
          <w:szCs w:val="17"/>
          <w:color w:val="auto"/>
        </w:rPr>
        <w:t>The increase in R&amp;D expenses for the three and six months ended November 24, 2019, compared to the same periods last year, was primarily due to higher professional service expenses related to new products at Curation Foods and higher salary and benefit expenses due to an increase in headcount at Lifecore, partially offset by decreases at our Other segment from fewer product development activities for our new ventures.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(SG&amp;A):</w:t>
      </w:r>
    </w:p>
    <w:p>
      <w:pPr>
        <w:spacing w:after="0" w:line="185"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SG&amp;A expenses consist primarily of sales and marketing expenses associated with Landec’s product sales and services, business development expenses, and staff and administrative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1280" w:type="dxa"/>
            <w:vAlign w:val="bottom"/>
            <w:gridSpan w:val="3"/>
          </w:tcPr>
          <w:p>
            <w:pPr>
              <w:ind w:left="60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5"/>
          </w:tcPr>
          <w:p>
            <w:pPr>
              <w:ind w:left="280"/>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20"/>
                <w:szCs w:val="20"/>
                <w:color w:val="auto"/>
              </w:rPr>
            </w:pPr>
          </w:p>
        </w:tc>
        <w:tc>
          <w:tcPr>
            <w:tcW w:w="1280" w:type="dxa"/>
            <w:vAlign w:val="bottom"/>
            <w:gridSpan w:val="3"/>
          </w:tcPr>
          <w:p>
            <w:pPr>
              <w:ind w:left="600"/>
              <w:spacing w:after="0"/>
              <w:rPr>
                <w:sz w:val="20"/>
                <w:szCs w:val="20"/>
                <w:color w:val="auto"/>
              </w:rPr>
            </w:pPr>
            <w:r>
              <w:rPr>
                <w:rFonts w:ascii="Arial" w:cs="Arial" w:eastAsia="Arial" w:hAnsi="Arial"/>
                <w:sz w:val="18"/>
                <w:szCs w:val="18"/>
                <w:color w:val="auto"/>
              </w:rPr>
              <w:t>Change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19"/>
                <w:szCs w:val="19"/>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November 25,</w:t>
            </w:r>
          </w:p>
        </w:tc>
        <w:tc>
          <w:tcPr>
            <w:tcW w:w="180" w:type="dxa"/>
            <w:vAlign w:val="bottom"/>
          </w:tcPr>
          <w:p>
            <w:pPr>
              <w:spacing w:after="0"/>
              <w:rPr>
                <w:sz w:val="19"/>
                <w:szCs w:val="19"/>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8"/>
                <w:szCs w:val="18"/>
                <w:color w:val="auto"/>
              </w:rPr>
              <w:t>Amount</w:t>
            </w:r>
          </w:p>
        </w:tc>
        <w:tc>
          <w:tcPr>
            <w:tcW w:w="64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November 25,</w:t>
            </w:r>
          </w:p>
        </w:tc>
        <w:tc>
          <w:tcPr>
            <w:tcW w:w="180" w:type="dxa"/>
            <w:vAlign w:val="bottom"/>
          </w:tcPr>
          <w:p>
            <w:pPr>
              <w:spacing w:after="0"/>
              <w:rPr>
                <w:sz w:val="19"/>
                <w:szCs w:val="19"/>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8"/>
                <w:szCs w:val="18"/>
                <w:color w:val="auto"/>
              </w:rPr>
              <w:t>Amount</w:t>
            </w:r>
          </w:p>
        </w:tc>
        <w:tc>
          <w:tcPr>
            <w:tcW w:w="64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Curation Foods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Lifecore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21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Total SG&amp;A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18,728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35,623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28,203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783"/>
        <w:spacing w:after="0" w:line="293" w:lineRule="auto"/>
        <w:rPr>
          <w:sz w:val="20"/>
          <w:szCs w:val="20"/>
          <w:color w:val="auto"/>
        </w:rPr>
      </w:pPr>
      <w:r>
        <w:rPr>
          <w:rFonts w:ascii="Arial" w:cs="Arial" w:eastAsia="Arial" w:hAnsi="Arial"/>
          <w:sz w:val="16"/>
          <w:szCs w:val="16"/>
          <w:color w:val="auto"/>
        </w:rPr>
        <w:t xml:space="preserve">The increase in SG&amp;A expenses for the three months ended November 24, 2019, compared to the same period last year, was due to (1) a $3.9 million increase in our Curation Foods business primarily due to $1.9 million of SG&amp;A at Yucatan Foods, a $1.2 million reserve for the note receivable from Pacific Harvest, and a $0.4 million increase in consulting fees, most of which was associated with Curation Foods’ cost saving initiatives, (2) a $0.3 million increase in our Lifecore business from higher salary and benefit expenses from employee bonuses, and (3) a $0.1 million increase at our Other segment due to a $0.6 million increase in legal fees from compliance matters and $0.4 million impairment of the San Rafael asset held for sale, partially offset by lower salary and benefit expenses primarily from the $0.5 million reduction of the earnout liability associated with the </w:t>
      </w:r>
      <w:r>
        <w:rPr>
          <w:rFonts w:ascii="Arial" w:cs="Arial" w:eastAsia="Arial" w:hAnsi="Arial"/>
          <w:sz w:val="16"/>
          <w:szCs w:val="16"/>
          <w:i w:val="1"/>
          <w:iCs w:val="1"/>
          <w:color w:val="auto"/>
        </w:rPr>
        <w:t>O</w:t>
      </w:r>
      <w:r>
        <w:rPr>
          <w:rFonts w:ascii="Arial" w:cs="Arial" w:eastAsia="Arial" w:hAnsi="Arial"/>
          <w:sz w:val="16"/>
          <w:szCs w:val="16"/>
          <w:color w:val="auto"/>
        </w:rPr>
        <w:t xml:space="preserve"> acquisition.</w:t>
      </w:r>
    </w:p>
    <w:p>
      <w:pPr>
        <w:spacing w:after="0" w:line="124" w:lineRule="exact"/>
        <w:rPr>
          <w:sz w:val="20"/>
          <w:szCs w:val="20"/>
          <w:color w:val="auto"/>
        </w:rPr>
      </w:pPr>
    </w:p>
    <w:p>
      <w:pPr>
        <w:jc w:val="both"/>
        <w:ind w:firstLine="783"/>
        <w:spacing w:after="0" w:line="273" w:lineRule="auto"/>
        <w:rPr>
          <w:sz w:val="20"/>
          <w:szCs w:val="20"/>
          <w:color w:val="auto"/>
        </w:rPr>
      </w:pPr>
      <w:r>
        <w:rPr>
          <w:rFonts w:ascii="Arial" w:cs="Arial" w:eastAsia="Arial" w:hAnsi="Arial"/>
          <w:sz w:val="17"/>
          <w:szCs w:val="17"/>
          <w:color w:val="auto"/>
        </w:rPr>
        <w:t xml:space="preserve">The increase in SG&amp;A expenses for the six months ended November 24, 2019, compared to the same period last year, was due to (1) a $6.5 million increase in our Curation Foods business primarily due to $4.0 million of SG&amp;A at Yucatan Foods, a $1.2 million reserve for the receivable from Pacific Harvest, and a $0.9 million increase in consulting fees, most of which was associated with Curation Foods’ cost saving initiatives, (2) a $0.7 million increase in our Lifecore business from higher salary and benefit expenses from employee bonuses, and (3) a $0.3 million increase at our Other segment due to a $0.6 million increase in legal fees from compliance matters and $0.4 million impairment of the San Rafael asset held for sale, partially offset by lower salary and benefit expenses primarily from the $0.5 million reduction of the earnout liability associated with the </w:t>
      </w:r>
      <w:r>
        <w:rPr>
          <w:rFonts w:ascii="Arial" w:cs="Arial" w:eastAsia="Arial" w:hAnsi="Arial"/>
          <w:sz w:val="17"/>
          <w:szCs w:val="17"/>
          <w:i w:val="1"/>
          <w:iCs w:val="1"/>
          <w:color w:val="auto"/>
        </w:rPr>
        <w:t>O</w:t>
      </w:r>
      <w:r>
        <w:rPr>
          <w:rFonts w:ascii="Arial" w:cs="Arial" w:eastAsia="Arial" w:hAnsi="Arial"/>
          <w:sz w:val="17"/>
          <w:szCs w:val="17"/>
          <w:color w:val="auto"/>
        </w:rPr>
        <w:t xml:space="preserve"> acquisition.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24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28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24"/>
                <w:szCs w:val="24"/>
                <w:color w:val="auto"/>
              </w:rPr>
            </w:pPr>
          </w:p>
        </w:tc>
        <w:tc>
          <w:tcPr>
            <w:tcW w:w="1260" w:type="dxa"/>
            <w:vAlign w:val="bottom"/>
            <w:gridSpan w:val="3"/>
          </w:tcPr>
          <w:p>
            <w:pPr>
              <w:ind w:left="620"/>
              <w:spacing w:after="0"/>
              <w:rPr>
                <w:sz w:val="20"/>
                <w:szCs w:val="20"/>
                <w:color w:val="auto"/>
              </w:rPr>
            </w:pPr>
            <w:r>
              <w:rPr>
                <w:rFonts w:ascii="Arial" w:cs="Arial" w:eastAsia="Arial" w:hAnsi="Arial"/>
                <w:sz w:val="18"/>
                <w:szCs w:val="18"/>
                <w:color w:val="auto"/>
                <w:w w:val="98"/>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November 25,</w:t>
            </w:r>
          </w:p>
        </w:tc>
        <w:tc>
          <w:tcPr>
            <w:tcW w:w="200" w:type="dxa"/>
            <w:vAlign w:val="bottom"/>
          </w:tcPr>
          <w:p>
            <w:pPr>
              <w:spacing w:after="0"/>
              <w:rPr>
                <w:sz w:val="19"/>
                <w:szCs w:val="19"/>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8"/>
                <w:szCs w:val="18"/>
                <w:color w:val="auto"/>
              </w:rPr>
              <w:t>Amount</w:t>
            </w:r>
          </w:p>
        </w:tc>
        <w:tc>
          <w:tcPr>
            <w:tcW w:w="6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November 24,</w:t>
            </w: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November 25,</w:t>
            </w:r>
          </w:p>
        </w:tc>
        <w:tc>
          <w:tcPr>
            <w:tcW w:w="200" w:type="dxa"/>
            <w:vAlign w:val="bottom"/>
          </w:tcPr>
          <w:p>
            <w:pPr>
              <w:spacing w:after="0"/>
              <w:rPr>
                <w:sz w:val="19"/>
                <w:szCs w:val="19"/>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8"/>
                <w:szCs w:val="18"/>
                <w:color w:val="auto"/>
              </w:rPr>
              <w:t>Amount</w:t>
            </w:r>
          </w:p>
        </w:tc>
        <w:tc>
          <w:tcPr>
            <w:tcW w:w="6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Dividend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Other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Other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 Benefit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Dividend Income</w:t>
      </w:r>
    </w:p>
    <w:p>
      <w:pPr>
        <w:spacing w:after="0" w:line="185"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Dividend income is derived from the dividends accrued on the Company’s $15.0 million Senior A and $7.0 million Senior B preferred stock investment in Windset, which yields a cash dividend of 7.5% annually. The decrease in dividend income for the three and six months ended November 24, 2019 compared to the same periods last year was due to the sale of the Company's $7.0 million Senior B preferred stock to Windset in the fourth quarter of fiscal year 2019.</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The decrease in interest income for the three and six months ended November 24, 2019, compared to the same periods last year, was not significant.</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The increase in interest expense for the three and six months ended November 24, 2019, compared to the same periods last year, was a result of an increase in total debt from $81.8 million as of November 25, 2018 to $180.7 million as of November 24, 2019. The increase in debt was primarily due to the additional borrowings to fund the acquisition of Yucatan Foods in the third quarter of fiscal 2019, as well as increases in the Company’s line of credit to fund new equipment purchases during the last twelve months.</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Other Income</w:t>
      </w:r>
    </w:p>
    <w:p>
      <w:pPr>
        <w:spacing w:after="0" w:line="185" w:lineRule="exact"/>
        <w:rPr>
          <w:sz w:val="20"/>
          <w:szCs w:val="20"/>
          <w:color w:val="auto"/>
        </w:rPr>
      </w:pPr>
    </w:p>
    <w:p>
      <w:pPr>
        <w:jc w:val="both"/>
        <w:ind w:firstLine="783"/>
        <w:spacing w:after="0" w:line="286" w:lineRule="auto"/>
        <w:rPr>
          <w:sz w:val="20"/>
          <w:szCs w:val="20"/>
          <w:color w:val="auto"/>
        </w:rPr>
      </w:pPr>
      <w:r>
        <w:rPr>
          <w:rFonts w:ascii="Arial" w:cs="Arial" w:eastAsia="Arial" w:hAnsi="Arial"/>
          <w:sz w:val="17"/>
          <w:szCs w:val="17"/>
          <w:color w:val="auto"/>
        </w:rPr>
        <w:t>The decrease in other income for the three and six months ended November 24, 2019, compared to the same periods last year, was a result of the change in the fair value of the Company’s investment in Windset, which increased $0.2 million for the three and six months ended November 24, 2019 compared to an increase of $0.6 million and $1.6 million for the three and six months ended November 25, 2018, respectively.</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Other Expense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other expense for the three and six months ended November 24, 2019, compared to the same periods last year, was a result of a change in fair value of a recorded asset related to the Yucatan Foods acquisition. A portion of the common stock consideration paid for the Yucatan Foods acquisition is maintained in an escrow account with the number of shares reimbursed to Landec at a contractual rate. Increases in the value of the Company's common stock will result in a gain while reductions result in a loss.</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firstLine="783"/>
        <w:spacing w:after="0" w:line="302" w:lineRule="auto"/>
        <w:rPr>
          <w:sz w:val="20"/>
          <w:szCs w:val="20"/>
          <w:color w:val="auto"/>
        </w:rPr>
      </w:pPr>
      <w:r>
        <w:rPr>
          <w:rFonts w:ascii="Arial" w:cs="Arial" w:eastAsia="Arial" w:hAnsi="Arial"/>
          <w:sz w:val="16"/>
          <w:szCs w:val="16"/>
          <w:color w:val="auto"/>
        </w:rPr>
        <w:t>The change in income tax during the three and six months ended November 24, 2019, compared to the same periods last year, was due to the income tax benefit from pre-tax loss for the three and six months ended November 24, 2019 compared to the income tax expense from pre-tax income for the three and six months ended November 25, 2018. The effective tax rate for the three and six months ended November 24, 2019 was lower than the statutory federal income tax rate of 21% primarily due to the impact of state taxes, and stock-based compensation, partially offset by federal &amp; state R&amp;D Credits.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As of November 24, 2019, the Company had cash and cash equivalents of $1.6 million, a net increase of $0.5 million from $1.1 million as of May 26,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firstLine="783"/>
        <w:spacing w:after="0" w:line="276" w:lineRule="auto"/>
        <w:rPr>
          <w:sz w:val="20"/>
          <w:szCs w:val="20"/>
          <w:color w:val="auto"/>
        </w:rPr>
      </w:pPr>
      <w:r>
        <w:rPr>
          <w:rFonts w:ascii="Arial" w:cs="Arial" w:eastAsia="Arial" w:hAnsi="Arial"/>
          <w:sz w:val="17"/>
          <w:szCs w:val="17"/>
          <w:color w:val="auto"/>
        </w:rPr>
        <w:t>The Company used $14.9 million of net cash in operating activities during the six months ended November 24, 2019, compared to $4.8 million of net cash provided by operating activities for the six months ended November 25, 2018. The primary uses of net cash in operating activities during the six months ended November 24, 2019 were from (1) an $11.5 million net loss, (2) a $2.6 million reduction in deferred taxes, and (3) a net increase of $12.2 million in working capital. These uses of cash were offset by (1) $10.3 million of depreciation/amortization and stock based compensation expense, and (2) $1.6 million from the Pacific Harvest note receivable reserve and the impairment of San Rafael assets.</w:t>
      </w:r>
    </w:p>
    <w:p>
      <w:pPr>
        <w:spacing w:after="0" w:line="132"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The primary factors for the increase in working capital during the six months ended November 24, 2019, were (1) a $6.1 million decrease in accounts payable due primarily to the timing of payments, (2) a $4.4 million increase in inventory due to an increase of $5.0 million in inventory at Lifecore to meet increasing demand, partially offset by a decrease of $0.6 million in inventory at Curation Foods due primarily to the timing of shipments, (3) a $2.0 million decrease in accrued compensation primarily related to fiscal year 2019 earned bonuses being paid during the first quarter of fiscal year 2020, and (4) a $0.6 million increase in prepaid expenses and other current assets primarily due to the timing of payments for prepaid insurance renewal policies and service agreements. These increases in working capital were partially offset by a $1.1 million increase in accrued liabilities in the current period versus the prior year period.</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Net cash used in investing activities during the six months ended November 24, 2019 was $15.6 million compared to $18.4 million for the same period last year. The use of cash in investing activities during the six months ended November 24, 2019, was primarily due to the purchase of $16.0 million of equipment to support the growth of the Company’s Curation Foods and Lifecore businesses.</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firstLine="783"/>
        <w:spacing w:after="0" w:line="279" w:lineRule="auto"/>
        <w:rPr>
          <w:sz w:val="20"/>
          <w:szCs w:val="20"/>
          <w:color w:val="auto"/>
        </w:rPr>
      </w:pPr>
      <w:r>
        <w:rPr>
          <w:rFonts w:ascii="Arial" w:cs="Arial" w:eastAsia="Arial" w:hAnsi="Arial"/>
          <w:sz w:val="17"/>
          <w:szCs w:val="17"/>
          <w:color w:val="auto"/>
        </w:rPr>
        <w:t>Net cash provided by financing activities during the six months ended November 24, 2019 was $31.1 million compared to $12.2 million for the same period last year. The net cash provided by financing activities during the six months ended November 24, 2019, was primarily due to $27.5 million of borrowings under the Company's term loan and from a $9.5 million net increase in the Company’s line of credit. The cash provided by these financing activities was primarily used for $16.0 million of capital expenditures, $14.9 million of operating activities, and $5.1 million of long-term debt payments.</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Capital Expenditures</w:t>
      </w:r>
    </w:p>
    <w:p>
      <w:pPr>
        <w:spacing w:after="0" w:line="185"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During the six months ended November 24, 2019, Landec purchased equipment to support the growth of the Curation Foods and Lifecore businesses. These expenditures represented the majority of the $16.0 million of capital expenditures in the period.</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Debt</w:t>
      </w:r>
    </w:p>
    <w:p>
      <w:pPr>
        <w:spacing w:after="0" w:line="185" w:lineRule="exact"/>
        <w:rPr>
          <w:sz w:val="20"/>
          <w:szCs w:val="20"/>
          <w:color w:val="auto"/>
        </w:rPr>
      </w:pPr>
    </w:p>
    <w:p>
      <w:pPr>
        <w:jc w:val="both"/>
        <w:ind w:firstLine="783"/>
        <w:spacing w:after="0" w:line="302" w:lineRule="auto"/>
        <w:rPr>
          <w:sz w:val="20"/>
          <w:szCs w:val="20"/>
          <w:color w:val="auto"/>
        </w:rPr>
      </w:pPr>
      <w:r>
        <w:rPr>
          <w:rFonts w:ascii="Arial" w:cs="Arial" w:eastAsia="Arial" w:hAnsi="Arial"/>
          <w:sz w:val="16"/>
          <w:szCs w:val="16"/>
          <w:color w:val="auto"/>
        </w:rPr>
        <w:t>On September 23, 2016, the Company entered into a Credit Agreement with JPMorgan Chase Bank (“JPMorgan”), BMO Harris Bank N.A. and City National Bank, as lenders (collectively, the “Lenders”), and JPMorgan as administrative agent, pursuant to which the Lenders provided the Company with a $100 million revolving line of credit (the “Revolver”) and a $50 million term loan facility (the “Term Loan”), guaranteed by each of the Company’s direct and indirect subsidiaries and secured by substantially all of the Company’s assets, with the exception of the Company’s investment in Windset.</w:t>
      </w:r>
    </w:p>
    <w:p>
      <w:pPr>
        <w:spacing w:after="0" w:line="114"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On November 30, 2018, the Company entered into the Fourth Amendment to the Credit Agreement, whereby the Term Loan was increased to $100 million and the Revolver was increased to $105 million.</w:t>
      </w:r>
    </w:p>
    <w:p>
      <w:pPr>
        <w:spacing w:after="0" w:line="130"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On October 25, 2019, the Company entered into the Sixth Amendment to the Credit Agreement (the "Amendment"), which increased the Term Loan to $120.0 million and decreased the Revolver to $100.0 million. Both the Revolver and the Term Loan mature on October 25, 2022, with the Term Loan requiring quarterly principal payments of $3.0 million and the remainder continuing to be due at maturity.</w:t>
      </w:r>
    </w:p>
    <w:p>
      <w:pPr>
        <w:spacing w:after="0" w:line="141"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 primary purpose of the Amendment was to provide flexibility and greater liquidity to implement the Company's strategic priorities to improve operating margins at Curation Foods by accelerating investments in cost-out initiatives, while furthering the Company's investments in growth and capacity at Lifecore to meet increasing customer demand.</w:t>
      </w:r>
    </w:p>
    <w:p>
      <w:pPr>
        <w:spacing w:after="0" w:line="141" w:lineRule="exact"/>
        <w:rPr>
          <w:sz w:val="20"/>
          <w:szCs w:val="20"/>
          <w:color w:val="auto"/>
        </w:rPr>
      </w:pPr>
    </w:p>
    <w:p>
      <w:pPr>
        <w:jc w:val="both"/>
        <w:ind w:right="20" w:firstLine="783"/>
        <w:spacing w:after="0" w:line="277" w:lineRule="auto"/>
        <w:rPr>
          <w:sz w:val="20"/>
          <w:szCs w:val="20"/>
          <w:color w:val="auto"/>
        </w:rPr>
      </w:pPr>
      <w:r>
        <w:rPr>
          <w:rFonts w:ascii="Arial" w:cs="Arial" w:eastAsia="Arial" w:hAnsi="Arial"/>
          <w:sz w:val="18"/>
          <w:szCs w:val="18"/>
          <w:color w:val="auto"/>
        </w:rPr>
        <w:t>The Company believes that its cash from operations, along with existing cash and cash equivalents will be sufficient to finance its operational and capital requirements for at least the next twelve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There have been no material changes to the information provided under Item 7A. "Quantitative and Qualitative Disclosures About Market Risk" which is included and described in the Form 10-K for the fiscal year ended May 26, 2019 filed with the Securities and Exchange Commission on August 1, 2019.</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As of November 24, 2019, our management evaluated, with participation of our Chief Executive Officer and our Chief Financial Officer, the effectiveness of our disclosure controls and procedures. Based on this evaluation, our Chief Executive Officer and our Chief Financial Officer have concluded that the disclosure controls and procedures are effective in ensuring that information required to be disclosed in reports filed under the Securities Exchange Act of 1934, as amended (the "Exchange Act"), is recorded, processed, summarized and reported within the time periods specified by the Securities and Exchange Commission, and are effective in providing reasonable assurance that information required to be disclosed by the Company in such reports is accumulated and communicated to the Company’s management, including its Chief Executive Officer and Chief Financial Officer, as appropriate to allow timely decisions regarding required disclosure.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November 24, 2019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In the ordinary course of business, the Company is involved in various legal proceedings and claims. For further discussion, see Note 1 - Organization, Basis of Presentation, and Summary of Significant Accounting Policies.</w:t>
      </w:r>
    </w:p>
    <w:p>
      <w:pPr>
        <w:spacing w:after="0" w:line="1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ind w:firstLine="783"/>
        <w:spacing w:after="0" w:line="277" w:lineRule="auto"/>
        <w:rPr>
          <w:sz w:val="20"/>
          <w:szCs w:val="20"/>
          <w:color w:val="auto"/>
        </w:rPr>
      </w:pPr>
      <w:r>
        <w:rPr>
          <w:rFonts w:ascii="Arial" w:cs="Arial" w:eastAsia="Arial" w:hAnsi="Arial"/>
          <w:sz w:val="18"/>
          <w:szCs w:val="18"/>
          <w:color w:val="auto"/>
        </w:rPr>
        <w:t>Other than the item described below, there have been no material changes from the Company’s risk factors which are included and described in the Form 10-K for the fiscal year ended May 26, 2019 filed with the Securities and Exchange Commission on August 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185" w:lineRule="exact"/>
        <w:rPr>
          <w:sz w:val="20"/>
          <w:szCs w:val="20"/>
          <w:color w:val="auto"/>
        </w:rPr>
      </w:pPr>
    </w:p>
    <w:p>
      <w:pPr>
        <w:jc w:val="both"/>
        <w:ind w:firstLine="783"/>
        <w:spacing w:after="0" w:line="272" w:lineRule="auto"/>
        <w:rPr>
          <w:sz w:val="20"/>
          <w:szCs w:val="20"/>
          <w:color w:val="auto"/>
        </w:rPr>
      </w:pPr>
      <w:r>
        <w:rPr>
          <w:rFonts w:ascii="Arial" w:cs="Arial" w:eastAsia="Arial" w:hAnsi="Arial"/>
          <w:sz w:val="17"/>
          <w:szCs w:val="17"/>
          <w:color w:val="auto"/>
        </w:rPr>
        <w:t>We are subject to the risks of doing business internationally. We conduct a substantial amount of business with growers and customers who are located outside the United States. We purchase avocados from foreign growers and packers, sell fresh avocados and processed avocado products to foreign customers, and operate a production facility in Mexico. In recent years, there has been an increase in organized crime in Mexico. Further, in July of 2018, Mexico elected a new president to office, Andres Manuel Lopez Obrador. Neither the increase in organized crime nor the election of a new president in Mexico has had a significant impact on our operations, but both highlight certain risks of doing business abroad. We are also subject to regulations imposed by the Mexican government and to examinations by the Mexican tax authorities. Significant changes to these government regulations and to assessments by the Mexican tax authorities can have a negative impact on our operations and operating results in Mexico.</w:t>
      </w:r>
    </w:p>
    <w:p>
      <w:pPr>
        <w:spacing w:after="0" w:line="137" w:lineRule="exact"/>
        <w:rPr>
          <w:sz w:val="20"/>
          <w:szCs w:val="20"/>
          <w:color w:val="auto"/>
        </w:rPr>
      </w:pPr>
    </w:p>
    <w:p>
      <w:pPr>
        <w:jc w:val="both"/>
        <w:ind w:firstLine="783"/>
        <w:spacing w:after="0" w:line="290" w:lineRule="auto"/>
        <w:rPr>
          <w:sz w:val="20"/>
          <w:szCs w:val="20"/>
          <w:color w:val="auto"/>
        </w:rPr>
      </w:pPr>
      <w:r>
        <w:rPr>
          <w:rFonts w:ascii="Arial" w:cs="Arial" w:eastAsia="Arial" w:hAnsi="Arial"/>
          <w:sz w:val="16"/>
          <w:szCs w:val="16"/>
          <w:color w:val="auto"/>
        </w:rPr>
        <w:t>We operate in different jurisdictions and we could be adversely affected by violations of the U.S. Foreign Corrupt Practices Act and similar worldwide anti-corruption laws. The U.S. Foreign Corrupt Practices Act (“FCPA”) and similar worldwide anti-corruption laws generally prohibit companies and their intermediaries from making improper payments to public officials for the purpose of obtaining or retaining business. Our internal policies mandate compliance with these anti-corruption laws. We rely on our management structure, regulatory and legal resources and effective operation of our compliance program to direct, manage and monitor the activities of our employees and their agents. Despite our training, oversight and compliance programs, we cannot assure you that our internal control policies and procedures will always protect us from deliberate, reckless or inadvertent acts of our employees or agents that contravene the Company’s compliance polices or violate applicable laws. Violations of these laws, or allegations of such violations, could disrupt our business and result in a material adverse impact on our business, financial condition and results of operations.</w:t>
      </w:r>
    </w:p>
    <w:p>
      <w:pPr>
        <w:spacing w:after="0" w:line="3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credit facility provides our lenders with a lien against substantially all of our assets, and contains financial covenants that may limit our operational flexibility or otherwise adversely affect our results of operations</w:t>
      </w:r>
    </w:p>
    <w:p>
      <w:pPr>
        <w:spacing w:after="0" w:line="238" w:lineRule="exact"/>
        <w:rPr>
          <w:sz w:val="20"/>
          <w:szCs w:val="20"/>
          <w:color w:val="auto"/>
        </w:rPr>
      </w:pPr>
    </w:p>
    <w:p>
      <w:pPr>
        <w:jc w:val="both"/>
        <w:ind w:firstLine="783"/>
        <w:spacing w:after="0" w:line="273" w:lineRule="auto"/>
        <w:rPr>
          <w:sz w:val="20"/>
          <w:szCs w:val="20"/>
          <w:color w:val="auto"/>
        </w:rPr>
      </w:pPr>
      <w:r>
        <w:rPr>
          <w:rFonts w:ascii="Arial" w:cs="Arial" w:eastAsia="Arial" w:hAnsi="Arial"/>
          <w:sz w:val="17"/>
          <w:szCs w:val="17"/>
          <w:color w:val="auto"/>
        </w:rPr>
        <w:t>We are party to a credit agreement, as amended, which contains a number of covenants that limit our ability and our subsidiaries’ ability to, among other things, incur additional indebtedness, pay dividends, create liens, engage in transactions with affiliates, merge or consolidate with other companies, or sell substantially all of our assets. We are also required to maintain certain financial covenants, including a maximum total leverage ratio and a minimum fixed charge coverage ratio. The terms of our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38" w:lineRule="exact"/>
        <w:rPr>
          <w:sz w:val="20"/>
          <w:szCs w:val="20"/>
          <w:color w:val="auto"/>
        </w:rPr>
      </w:pPr>
    </w:p>
    <w:p>
      <w:pPr>
        <w:jc w:val="both"/>
        <w:ind w:firstLine="783"/>
        <w:spacing w:after="0" w:line="255" w:lineRule="auto"/>
        <w:rPr>
          <w:sz w:val="20"/>
          <w:szCs w:val="20"/>
          <w:color w:val="auto"/>
        </w:rPr>
      </w:pPr>
      <w:r>
        <w:rPr>
          <w:rFonts w:ascii="Arial" w:cs="Arial" w:eastAsia="Arial" w:hAnsi="Arial"/>
          <w:sz w:val="18"/>
          <w:szCs w:val="18"/>
          <w:color w:val="auto"/>
        </w:rPr>
        <w:t>A failure by us to comply with the covenants specified in our credit agreement, as amended, could result in an event of default under the agreement, which would give the lenders the right to terminate their commitments to provide additional loans under our credit facility and to declare all borrowings outstanding, together with accrued and unpaid interest, to be immediately due and payable. In addition, the lenders would have the right to proceed against the collateral we granted to them, which consists of substantially all our assets. If the debt under our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There were no shares repurchased by the Company during the fiscal quarter ended on November 24,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400"/>
          </w:cols>
          <w:pgMar w:left="240" w:top="125" w:right="259" w:bottom="1440" w:gutter="0" w:footer="0" w:header="0"/>
        </w:sectPr>
      </w:pP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4540"/>
        <w:spacing w:after="0"/>
        <w:rPr>
          <w:sz w:val="20"/>
          <w:szCs w:val="20"/>
          <w:color w:val="auto"/>
        </w:rPr>
      </w:pPr>
      <w:r>
        <w:rPr>
          <w:rFonts w:ascii="Arial" w:cs="Arial" w:eastAsia="Arial" w:hAnsi="Arial"/>
          <w:sz w:val="17"/>
          <w:szCs w:val="17"/>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39370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5220" w:space="720"/>
            <w:col w:w="5460"/>
          </w:cols>
          <w:pgMar w:left="240" w:top="125" w:right="259" w:bottom="1440" w:gutter="0" w:footer="0" w:header="0"/>
          <w:type w:val="continuous"/>
        </w:sectPr>
      </w:pPr>
    </w:p>
    <w:p>
      <w:pPr>
        <w:ind w:left="480"/>
        <w:spacing w:after="0"/>
        <w:tabs>
          <w:tab w:leader="none" w:pos="140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CEO Certification pursuant to section 302 of the Sarbanes-Oxley Act of 2002.</w:t>
      </w:r>
    </w:p>
    <w:p>
      <w:pPr>
        <w:spacing w:after="0" w:line="16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31.</w:t>
              </w:r>
              <w:r>
                <w:rPr>
                  <w:rFonts w:ascii="Arial" w:cs="Arial" w:eastAsia="Arial" w:hAnsi="Arial"/>
                  <w:sz w:val="18"/>
                  <w:szCs w:val="18"/>
                  <w:u w:val="single" w:color="auto"/>
                  <w:color w:val="0000FF"/>
                  <w:w w:val="92"/>
                </w:rPr>
                <w:t>2+</w:t>
              </w:r>
            </w:hyperlink>
          </w:p>
        </w:tc>
        <w:tc>
          <w:tcPr>
            <w:tcW w:w="360" w:type="dxa"/>
            <w:vAlign w:val="bottom"/>
          </w:tcPr>
          <w:p>
            <w:pPr>
              <w:spacing w:after="0"/>
              <w:rPr>
                <w:sz w:val="17"/>
                <w:szCs w:val="17"/>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w w:val="91"/>
              </w:rPr>
              <w:t>CFO Certification pursuant to section 302 of the Sarbanes-Oxley Act of 2002.</w:t>
            </w:r>
          </w:p>
        </w:tc>
      </w:tr>
      <w:tr>
        <w:trPr>
          <w:trHeight w:val="372"/>
        </w:trPr>
        <w:tc>
          <w:tcPr>
            <w:tcW w:w="220" w:type="dxa"/>
            <w:vAlign w:val="bottom"/>
          </w:tcPr>
          <w:p>
            <w:pPr>
              <w:spacing w:after="0"/>
              <w:rPr>
                <w:sz w:val="24"/>
                <w:szCs w:val="24"/>
                <w:color w:val="auto"/>
              </w:rPr>
            </w:pPr>
          </w:p>
        </w:tc>
        <w:tc>
          <w:tcPr>
            <w:tcW w:w="420" w:type="dxa"/>
            <w:vAlign w:val="bottom"/>
            <w:tcBorders>
              <w:bottom w:val="single" w:sz="8" w:color="0000FF"/>
            </w:tcBorders>
          </w:tcPr>
          <w:p>
            <w:pPr>
              <w:jc w:val="center"/>
              <w:spacing w:after="0"/>
              <w:rPr>
                <w:rFonts w:ascii="Arial" w:cs="Arial" w:eastAsia="Arial" w:hAnsi="Arial"/>
                <w:sz w:val="18"/>
                <w:szCs w:val="18"/>
                <w:color w:val="0000FF"/>
                <w:w w:val="92"/>
              </w:rPr>
            </w:pPr>
            <w:hyperlink w:anchor="page42">
              <w:r>
                <w:rPr>
                  <w:rFonts w:ascii="Arial" w:cs="Arial" w:eastAsia="Arial" w:hAnsi="Arial"/>
                  <w:sz w:val="18"/>
                  <w:szCs w:val="18"/>
                  <w:color w:val="0000FF"/>
                  <w:w w:val="92"/>
                </w:rPr>
                <w:t>32.</w:t>
              </w:r>
              <w:r>
                <w:rPr>
                  <w:rFonts w:ascii="Arial" w:cs="Arial" w:eastAsia="Arial" w:hAnsi="Arial"/>
                  <w:sz w:val="18"/>
                  <w:szCs w:val="18"/>
                  <w:u w:val="single" w:color="auto"/>
                  <w:color w:val="0000FF"/>
                  <w:w w:val="92"/>
                </w:rPr>
                <w:t>1+</w:t>
              </w:r>
            </w:hyperlink>
          </w:p>
        </w:tc>
        <w:tc>
          <w:tcPr>
            <w:tcW w:w="360" w:type="dxa"/>
            <w:vAlign w:val="bottom"/>
          </w:tcPr>
          <w:p>
            <w:pPr>
              <w:spacing w:after="0"/>
              <w:rPr>
                <w:sz w:val="24"/>
                <w:szCs w:val="24"/>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w w:val="91"/>
              </w:rPr>
              <w:t>CEO Certification pursuant to section 906 of the Sarbanes-Oxley Act of 2002.</w:t>
            </w:r>
          </w:p>
        </w:tc>
      </w:tr>
      <w:tr>
        <w:trPr>
          <w:trHeight w:val="372"/>
        </w:trPr>
        <w:tc>
          <w:tcPr>
            <w:tcW w:w="220" w:type="dxa"/>
            <w:vAlign w:val="bottom"/>
          </w:tcPr>
          <w:p>
            <w:pPr>
              <w:spacing w:after="0"/>
              <w:rPr>
                <w:sz w:val="24"/>
                <w:szCs w:val="24"/>
                <w:color w:val="auto"/>
              </w:rPr>
            </w:pPr>
          </w:p>
        </w:tc>
        <w:tc>
          <w:tcPr>
            <w:tcW w:w="420" w:type="dxa"/>
            <w:vAlign w:val="bottom"/>
            <w:tcBorders>
              <w:bottom w:val="single" w:sz="8" w:color="0000FF"/>
            </w:tcBorders>
          </w:tcPr>
          <w:p>
            <w:pPr>
              <w:jc w:val="cente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32.</w:t>
              </w:r>
              <w:r>
                <w:rPr>
                  <w:rFonts w:ascii="Arial" w:cs="Arial" w:eastAsia="Arial" w:hAnsi="Arial"/>
                  <w:sz w:val="18"/>
                  <w:szCs w:val="18"/>
                  <w:u w:val="single" w:color="auto"/>
                  <w:color w:val="0000FF"/>
                  <w:w w:val="92"/>
                </w:rPr>
                <w:t>2+</w:t>
              </w:r>
            </w:hyperlink>
          </w:p>
        </w:tc>
        <w:tc>
          <w:tcPr>
            <w:tcW w:w="360" w:type="dxa"/>
            <w:vAlign w:val="bottom"/>
          </w:tcPr>
          <w:p>
            <w:pPr>
              <w:spacing w:after="0"/>
              <w:rPr>
                <w:sz w:val="24"/>
                <w:szCs w:val="24"/>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w w:val="91"/>
              </w:rPr>
              <w:t>CFO Certification pursuant to section 906 of the Sarbanes-Oxley Act of 2002.</w:t>
            </w:r>
          </w:p>
        </w:tc>
      </w:tr>
      <w:tr>
        <w:trPr>
          <w:trHeight w:val="412"/>
        </w:trPr>
        <w:tc>
          <w:tcPr>
            <w:tcW w:w="100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101.INS**</w:t>
            </w:r>
          </w:p>
        </w:tc>
        <w:tc>
          <w:tcPr>
            <w:tcW w:w="5800" w:type="dxa"/>
            <w:vAlign w:val="bottom"/>
          </w:tcPr>
          <w:p>
            <w:pPr>
              <w:ind w:left="160"/>
              <w:spacing w:after="0"/>
              <w:rPr>
                <w:sz w:val="20"/>
                <w:szCs w:val="20"/>
                <w:color w:val="auto"/>
              </w:rPr>
            </w:pPr>
            <w:r>
              <w:rPr>
                <w:rFonts w:ascii="Arial" w:cs="Arial" w:eastAsia="Arial" w:hAnsi="Arial"/>
                <w:sz w:val="18"/>
                <w:szCs w:val="18"/>
                <w:color w:val="auto"/>
              </w:rPr>
              <w:t>XBRL Instance</w:t>
            </w:r>
          </w:p>
        </w:tc>
      </w:tr>
      <w:tr>
        <w:trPr>
          <w:trHeight w:val="392"/>
        </w:trPr>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101.SCH**</w:t>
            </w:r>
          </w:p>
        </w:tc>
        <w:tc>
          <w:tcPr>
            <w:tcW w:w="5800" w:type="dxa"/>
            <w:vAlign w:val="bottom"/>
          </w:tcPr>
          <w:p>
            <w:pPr>
              <w:ind w:left="16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1000" w:type="dxa"/>
            <w:vAlign w:val="bottom"/>
            <w:gridSpan w:val="3"/>
          </w:tcPr>
          <w:p>
            <w:pPr>
              <w:jc w:val="center"/>
              <w:ind w:right="140"/>
              <w:spacing w:after="0"/>
              <w:rPr>
                <w:sz w:val="20"/>
                <w:szCs w:val="20"/>
                <w:color w:val="auto"/>
              </w:rPr>
            </w:pPr>
            <w:r>
              <w:rPr>
                <w:rFonts w:ascii="Arial" w:cs="Arial" w:eastAsia="Arial" w:hAnsi="Arial"/>
                <w:sz w:val="18"/>
                <w:szCs w:val="18"/>
                <w:color w:val="auto"/>
              </w:rPr>
              <w:t>101.CAL**</w:t>
            </w:r>
          </w:p>
        </w:tc>
        <w:tc>
          <w:tcPr>
            <w:tcW w:w="5800" w:type="dxa"/>
            <w:vAlign w:val="bottom"/>
          </w:tcPr>
          <w:p>
            <w:pPr>
              <w:ind w:left="160"/>
              <w:spacing w:after="0"/>
              <w:rPr>
                <w:sz w:val="20"/>
                <w:szCs w:val="20"/>
                <w:color w:val="auto"/>
              </w:rPr>
            </w:pPr>
            <w:r>
              <w:rPr>
                <w:rFonts w:ascii="Arial" w:cs="Arial" w:eastAsia="Arial" w:hAnsi="Arial"/>
                <w:sz w:val="18"/>
                <w:szCs w:val="18"/>
                <w:color w:val="auto"/>
              </w:rPr>
              <w:t>XBRL Taxonomy Extension Calculation</w:t>
            </w:r>
          </w:p>
        </w:tc>
      </w:tr>
      <w:tr>
        <w:trPr>
          <w:trHeight w:val="392"/>
        </w:trPr>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8"/>
              </w:rPr>
              <w:t>101.DEF**</w:t>
            </w:r>
          </w:p>
        </w:tc>
        <w:tc>
          <w:tcPr>
            <w:tcW w:w="5800" w:type="dxa"/>
            <w:vAlign w:val="bottom"/>
          </w:tcPr>
          <w:p>
            <w:pPr>
              <w:ind w:left="160"/>
              <w:spacing w:after="0"/>
              <w:rPr>
                <w:sz w:val="20"/>
                <w:szCs w:val="20"/>
                <w:color w:val="auto"/>
              </w:rPr>
            </w:pPr>
            <w:r>
              <w:rPr>
                <w:rFonts w:ascii="Arial" w:cs="Arial" w:eastAsia="Arial" w:hAnsi="Arial"/>
                <w:sz w:val="18"/>
                <w:szCs w:val="18"/>
                <w:color w:val="auto"/>
              </w:rPr>
              <w:t>XBRL Taxonomy Extension Definition</w:t>
            </w:r>
          </w:p>
        </w:tc>
      </w:tr>
      <w:tr>
        <w:trPr>
          <w:trHeight w:val="392"/>
        </w:trPr>
        <w:tc>
          <w:tcPr>
            <w:tcW w:w="1000" w:type="dxa"/>
            <w:vAlign w:val="bottom"/>
            <w:gridSpan w:val="3"/>
          </w:tcPr>
          <w:p>
            <w:pPr>
              <w:jc w:val="center"/>
              <w:ind w:right="140"/>
              <w:spacing w:after="0"/>
              <w:rPr>
                <w:sz w:val="20"/>
                <w:szCs w:val="20"/>
                <w:color w:val="auto"/>
              </w:rPr>
            </w:pPr>
            <w:r>
              <w:rPr>
                <w:rFonts w:ascii="Arial" w:cs="Arial" w:eastAsia="Arial" w:hAnsi="Arial"/>
                <w:sz w:val="18"/>
                <w:szCs w:val="18"/>
                <w:color w:val="auto"/>
              </w:rPr>
              <w:t>101.LAB**</w:t>
            </w:r>
          </w:p>
        </w:tc>
        <w:tc>
          <w:tcPr>
            <w:tcW w:w="5800" w:type="dxa"/>
            <w:vAlign w:val="bottom"/>
          </w:tcPr>
          <w:p>
            <w:pPr>
              <w:ind w:left="160"/>
              <w:spacing w:after="0"/>
              <w:rPr>
                <w:sz w:val="20"/>
                <w:szCs w:val="20"/>
                <w:color w:val="auto"/>
              </w:rPr>
            </w:pPr>
            <w:r>
              <w:rPr>
                <w:rFonts w:ascii="Arial" w:cs="Arial" w:eastAsia="Arial" w:hAnsi="Arial"/>
                <w:sz w:val="18"/>
                <w:szCs w:val="18"/>
                <w:color w:val="auto"/>
              </w:rPr>
              <w:t>XBRL Taxonomy Extension Labels</w:t>
            </w:r>
          </w:p>
        </w:tc>
      </w:tr>
      <w:tr>
        <w:trPr>
          <w:trHeight w:val="392"/>
        </w:trPr>
        <w:tc>
          <w:tcPr>
            <w:tcW w:w="100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101.PRE**</w:t>
            </w:r>
          </w:p>
        </w:tc>
        <w:tc>
          <w:tcPr>
            <w:tcW w:w="5800" w:type="dxa"/>
            <w:vAlign w:val="bottom"/>
          </w:tcPr>
          <w:p>
            <w:pPr>
              <w:ind w:left="160"/>
              <w:spacing w:after="0"/>
              <w:rPr>
                <w:sz w:val="20"/>
                <w:szCs w:val="20"/>
                <w:color w:val="auto"/>
              </w:rPr>
            </w:pPr>
            <w:r>
              <w:rPr>
                <w:rFonts w:ascii="Arial" w:cs="Arial" w:eastAsia="Arial" w:hAnsi="Arial"/>
                <w:sz w:val="18"/>
                <w:szCs w:val="18"/>
                <w:color w:val="auto"/>
              </w:rPr>
              <w:t>XBRL Taxonomy Extension Presentation</w:t>
            </w:r>
          </w:p>
        </w:tc>
      </w:tr>
    </w:tbl>
    <w:p>
      <w:pPr>
        <w:spacing w:after="0" w:line="161" w:lineRule="exact"/>
        <w:rPr>
          <w:sz w:val="20"/>
          <w:szCs w:val="20"/>
          <w:color w:val="auto"/>
        </w:rPr>
      </w:pPr>
    </w:p>
    <w:p>
      <w:pPr>
        <w:ind w:left="1420" w:hanging="774"/>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00"/>
          </w:cols>
          <w:pgMar w:left="240" w:top="125" w:right="259" w:bottom="1440" w:gutter="0" w:footer="0" w:header="0"/>
          <w:type w:val="continuous"/>
        </w:sectPr>
      </w:pPr>
    </w:p>
    <w:p>
      <w:pPr>
        <w:spacing w:after="0" w:line="1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XBRL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0" w:lineRule="exact"/>
        <w:rPr>
          <w:sz w:val="20"/>
          <w:szCs w:val="20"/>
          <w:color w:val="auto"/>
        </w:rPr>
      </w:pPr>
    </w:p>
    <w:p>
      <w:pPr>
        <w:sectPr>
          <w:pgSz w:w="11900" w:h="16838" w:orient="portrait"/>
          <w:cols w:equalWidth="0" w:num="2">
            <w:col w:w="1040" w:space="380"/>
            <w:col w:w="9980"/>
          </w:cols>
          <w:pgMar w:left="240" w:top="125" w:right="25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25"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7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LANDEC CORPORATION</w:t>
      </w:r>
    </w:p>
    <w:p>
      <w:pPr>
        <w:spacing w:after="0" w:line="360" w:lineRule="exact"/>
        <w:rPr>
          <w:sz w:val="20"/>
          <w:szCs w:val="20"/>
          <w:color w:val="auto"/>
        </w:rPr>
      </w:pPr>
    </w:p>
    <w:p>
      <w:pPr>
        <w:ind w:left="518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S. Skinner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10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Gregory S. Skinner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Executive Vice President of Finance and Administration and Chief Financial</w:t>
      </w:r>
    </w:p>
    <w:p>
      <w:pPr>
        <w:spacing w:after="0" w:line="4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and Accounting Officer)</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January 2,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Albert D. Bolles, Ph.D., certify that:</w:t>
      </w:r>
    </w:p>
    <w:p>
      <w:pPr>
        <w:spacing w:after="0" w:line="225" w:lineRule="exact"/>
        <w:rPr>
          <w:sz w:val="20"/>
          <w:szCs w:val="20"/>
          <w:color w:val="auto"/>
        </w:rPr>
      </w:pPr>
    </w:p>
    <w:p>
      <w:pPr>
        <w:ind w:left="540" w:hanging="397"/>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Landec Corporation;</w:t>
      </w:r>
    </w:p>
    <w:p>
      <w:pPr>
        <w:spacing w:after="0" w:line="225" w:lineRule="exact"/>
        <w:rPr>
          <w:rFonts w:ascii="Arial" w:cs="Arial" w:eastAsia="Arial" w:hAnsi="Arial"/>
          <w:sz w:val="18"/>
          <w:szCs w:val="18"/>
          <w:color w:val="auto"/>
        </w:rPr>
      </w:pPr>
    </w:p>
    <w:p>
      <w:pPr>
        <w:jc w:val="both"/>
        <w:ind w:firstLine="143"/>
        <w:spacing w:after="0" w:line="264" w:lineRule="auto"/>
        <w:tabs>
          <w:tab w:leader="none" w:pos="61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143"/>
        <w:spacing w:after="0" w:line="308" w:lineRule="auto"/>
        <w:tabs>
          <w:tab w:leader="none" w:pos="668"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143"/>
        <w:spacing w:after="0" w:line="264" w:lineRule="auto"/>
        <w:tabs>
          <w:tab w:leader="none" w:pos="68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1" w:lineRule="exact"/>
        <w:rPr>
          <w:rFonts w:ascii="Arial" w:cs="Arial" w:eastAsia="Arial" w:hAnsi="Arial"/>
          <w:sz w:val="18"/>
          <w:szCs w:val="18"/>
          <w:color w:val="auto"/>
        </w:rPr>
      </w:pPr>
    </w:p>
    <w:p>
      <w:pPr>
        <w:jc w:val="both"/>
        <w:ind w:firstLine="791"/>
        <w:spacing w:after="0" w:line="264" w:lineRule="auto"/>
        <w:tabs>
          <w:tab w:leader="none" w:pos="129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791"/>
        <w:spacing w:after="0" w:line="264" w:lineRule="auto"/>
        <w:tabs>
          <w:tab w:leader="none" w:pos="1303"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791"/>
        <w:spacing w:after="0" w:line="342" w:lineRule="auto"/>
        <w:tabs>
          <w:tab w:leader="none" w:pos="127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jc w:val="both"/>
        <w:ind w:firstLine="791"/>
        <w:spacing w:after="0" w:line="264" w:lineRule="auto"/>
        <w:tabs>
          <w:tab w:leader="none" w:pos="125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143"/>
        <w:spacing w:after="0" w:line="308" w:lineRule="auto"/>
        <w:tabs>
          <w:tab w:leader="none" w:pos="60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791"/>
        <w:spacing w:after="0" w:line="277" w:lineRule="auto"/>
        <w:tabs>
          <w:tab w:leader="none" w:pos="143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791"/>
        <w:spacing w:after="0" w:line="277" w:lineRule="auto"/>
        <w:tabs>
          <w:tab w:leader="none" w:pos="13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8"/>
          <w:szCs w:val="18"/>
          <w:color w:val="auto"/>
        </w:rPr>
        <w:t>Date:</w:t>
        <w:tab/>
        <w:t>January 2, 2020</w:t>
      </w:r>
    </w:p>
    <w:p>
      <w:pPr>
        <w:spacing w:after="0" w:line="38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Albert D. Bolles,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-10160</wp:posOffset>
            </wp:positionV>
            <wp:extent cx="2463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3800" cy="8890"/>
                    </a:xfrm>
                    <a:prstGeom prst="rect">
                      <a:avLst/>
                    </a:prstGeom>
                    <a:noFill/>
                  </pic:spPr>
                </pic:pic>
              </a:graphicData>
            </a:graphic>
          </wp:anchor>
        </w:drawing>
      </w:r>
    </w:p>
    <w:p>
      <w:pPr>
        <w:spacing w:after="0" w:line="4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Albert D. Bolles, Ph.D.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5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CERTIFICATION</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Gregory S. Skinner, certify that:</w:t>
      </w:r>
    </w:p>
    <w:p>
      <w:pPr>
        <w:spacing w:after="0" w:line="225" w:lineRule="exact"/>
        <w:rPr>
          <w:sz w:val="20"/>
          <w:szCs w:val="20"/>
          <w:color w:val="auto"/>
        </w:rPr>
      </w:pPr>
    </w:p>
    <w:p>
      <w:pPr>
        <w:ind w:left="540" w:hanging="397"/>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Landec Corporation;</w:t>
      </w:r>
    </w:p>
    <w:p>
      <w:pPr>
        <w:spacing w:after="0" w:line="225" w:lineRule="exact"/>
        <w:rPr>
          <w:rFonts w:ascii="Arial" w:cs="Arial" w:eastAsia="Arial" w:hAnsi="Arial"/>
          <w:sz w:val="18"/>
          <w:szCs w:val="18"/>
          <w:color w:val="auto"/>
        </w:rPr>
      </w:pPr>
    </w:p>
    <w:p>
      <w:pPr>
        <w:jc w:val="both"/>
        <w:ind w:firstLine="143"/>
        <w:spacing w:after="0" w:line="264" w:lineRule="auto"/>
        <w:tabs>
          <w:tab w:leader="none" w:pos="6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143"/>
        <w:spacing w:after="0" w:line="308" w:lineRule="auto"/>
        <w:tabs>
          <w:tab w:leader="none" w:pos="6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143"/>
        <w:spacing w:after="0" w:line="264" w:lineRule="auto"/>
        <w:tabs>
          <w:tab w:leader="none" w:pos="68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1" w:lineRule="exact"/>
        <w:rPr>
          <w:rFonts w:ascii="Arial" w:cs="Arial" w:eastAsia="Arial" w:hAnsi="Arial"/>
          <w:sz w:val="18"/>
          <w:szCs w:val="18"/>
          <w:color w:val="auto"/>
        </w:rPr>
      </w:pPr>
    </w:p>
    <w:p>
      <w:pPr>
        <w:jc w:val="both"/>
        <w:ind w:firstLine="791"/>
        <w:spacing w:after="0" w:line="264"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firstLine="791"/>
        <w:spacing w:after="0" w:line="264" w:lineRule="auto"/>
        <w:tabs>
          <w:tab w:leader="none" w:pos="130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791"/>
        <w:spacing w:after="0" w:line="342" w:lineRule="auto"/>
        <w:tabs>
          <w:tab w:leader="none" w:pos="12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jc w:val="both"/>
        <w:ind w:firstLine="791"/>
        <w:spacing w:after="0" w:line="264" w:lineRule="auto"/>
        <w:tabs>
          <w:tab w:leader="none" w:pos="12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143"/>
        <w:spacing w:after="0" w:line="308" w:lineRule="auto"/>
        <w:tabs>
          <w:tab w:leader="none" w:pos="60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791"/>
        <w:spacing w:after="0" w:line="277" w:lineRule="auto"/>
        <w:tabs>
          <w:tab w:leader="none" w:pos="143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791"/>
        <w:spacing w:after="0" w:line="277" w:lineRule="auto"/>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8"/>
          <w:szCs w:val="18"/>
          <w:color w:val="auto"/>
        </w:rPr>
        <w:t>Date:</w:t>
        <w:tab/>
        <w:t>January 2, 2020</w:t>
      </w:r>
    </w:p>
    <w:p>
      <w:pPr>
        <w:spacing w:after="0" w:line="38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S. Skinner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-10160</wp:posOffset>
            </wp:positionV>
            <wp:extent cx="23082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08225" cy="8890"/>
                    </a:xfrm>
                    <a:prstGeom prst="rect">
                      <a:avLst/>
                    </a:prstGeom>
                    <a:noFill/>
                  </pic:spPr>
                </pic:pic>
              </a:graphicData>
            </a:graphic>
          </wp:anchor>
        </w:drawing>
      </w:r>
    </w:p>
    <w:p>
      <w:pPr>
        <w:spacing w:after="0" w:line="4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S. Skinner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Executive Vice President of Finance and Administration and</w:t>
      </w:r>
    </w:p>
    <w:p>
      <w:pPr>
        <w:spacing w:after="0" w:line="3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CERTIFICATION PURSUANT TO</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firstLine="783"/>
        <w:spacing w:after="0" w:line="264" w:lineRule="auto"/>
        <w:rPr>
          <w:sz w:val="20"/>
          <w:szCs w:val="20"/>
          <w:color w:val="auto"/>
        </w:rPr>
      </w:pPr>
      <w:r>
        <w:rPr>
          <w:rFonts w:ascii="Arial" w:cs="Arial" w:eastAsia="Arial" w:hAnsi="Arial"/>
          <w:sz w:val="18"/>
          <w:szCs w:val="18"/>
          <w:color w:val="auto"/>
        </w:rPr>
        <w:t>In connection with the Quarterly Report of Landec Corporation (the “Company”) on Form 10-Q for the period ending November 24, 2019 as filed with the Securities and Exchange Commission on the date hereof (the “Report”), I, Albert D. Bolles, Ph.D., Chief Executive Officer and President of the Company, certify, pursuant to 18 U.S.C. § 1350, as adopted pursuant to § 906 of the Sarbanes-Oxley Act of 2002, that:</w:t>
      </w:r>
    </w:p>
    <w:p>
      <w:pPr>
        <w:spacing w:after="0" w:line="181" w:lineRule="exact"/>
        <w:rPr>
          <w:sz w:val="20"/>
          <w:szCs w:val="20"/>
          <w:color w:val="auto"/>
        </w:rPr>
      </w:pPr>
    </w:p>
    <w:p>
      <w:pPr>
        <w:ind w:left="580" w:hanging="329"/>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2"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8"/>
          <w:szCs w:val="18"/>
          <w:color w:val="auto"/>
        </w:rPr>
        <w:t>Date:</w:t>
        <w:tab/>
        <w:t>January 2, 2020</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Albert D. Bolles,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-19050</wp:posOffset>
            </wp:positionV>
            <wp:extent cx="2063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6375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Albert D. Bolles, Ph.D.</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(Principal Executive Officer)</w:t>
      </w:r>
    </w:p>
    <w:p>
      <w:pPr>
        <w:spacing w:after="0" w:line="373" w:lineRule="exact"/>
        <w:rPr>
          <w:sz w:val="20"/>
          <w:szCs w:val="20"/>
          <w:color w:val="auto"/>
        </w:rPr>
      </w:pPr>
    </w:p>
    <w:p>
      <w:pPr>
        <w:jc w:val="both"/>
        <w:ind w:left="860" w:right="2240" w:hanging="825"/>
        <w:spacing w:after="0" w:line="26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420"/>
          </w:cols>
          <w:pgMar w:left="240" w:top="55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CERTIFICATION PURSUANT TO</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firstLine="783"/>
        <w:spacing w:after="0" w:line="312" w:lineRule="auto"/>
        <w:rPr>
          <w:sz w:val="20"/>
          <w:szCs w:val="20"/>
          <w:color w:val="auto"/>
        </w:rPr>
      </w:pPr>
      <w:r>
        <w:rPr>
          <w:rFonts w:ascii="Arial" w:cs="Arial" w:eastAsia="Arial" w:hAnsi="Arial"/>
          <w:sz w:val="16"/>
          <w:szCs w:val="16"/>
          <w:color w:val="auto"/>
        </w:rPr>
        <w:t>In connection with the Quarterly Report of Landec Corporation (the “Company”) on Form 10-Q for the period ending November 24, 2019 as filed with the Securities and Exchange Commission on the date hereof (the “Report”), I, Gregory S. Skinner, Vice President of Finance and Administration and Chief Financial Officer of the Company, certify, pursuant to 18 U.S.C. § 1350, as adopted pursuant to § 906 of the Sarbanes-Oxley Act of 2002, that:</w:t>
      </w:r>
    </w:p>
    <w:p>
      <w:pPr>
        <w:spacing w:after="0" w:line="147" w:lineRule="exact"/>
        <w:rPr>
          <w:sz w:val="20"/>
          <w:szCs w:val="20"/>
          <w:color w:val="auto"/>
        </w:rPr>
      </w:pPr>
    </w:p>
    <w:p>
      <w:pPr>
        <w:ind w:left="580" w:hanging="329"/>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80" w:hanging="329"/>
        <w:spacing w:after="0"/>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2"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8"/>
          <w:szCs w:val="18"/>
          <w:color w:val="auto"/>
        </w:rPr>
        <w:t>Date:</w:t>
        <w:tab/>
        <w:t>January 2, 2020</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Gregory S. Skinner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-10160</wp:posOffset>
            </wp:positionV>
            <wp:extent cx="2279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965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Gregory S. Skinner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Vice President of Finance and</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Administration and</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Accounting Officer)</w:t>
      </w:r>
    </w:p>
    <w:p>
      <w:pPr>
        <w:spacing w:after="0" w:line="373" w:lineRule="exact"/>
        <w:rPr>
          <w:sz w:val="20"/>
          <w:szCs w:val="20"/>
          <w:color w:val="auto"/>
        </w:rPr>
      </w:pPr>
    </w:p>
    <w:p>
      <w:pPr>
        <w:jc w:val="both"/>
        <w:ind w:left="860" w:right="2240" w:hanging="825"/>
        <w:spacing w:after="0" w:line="26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X"/>
      <w:numFmt w:val="bullet"/>
      <w:start w:val="1"/>
    </w:lvl>
  </w:abstractNum>
  <w:abstractNum w:abstractNumId="2">
    <w:nsid w:val="515F007C"/>
    <w:multiLevelType w:val="hybridMultilevel"/>
    <w:lvl w:ilvl="0">
      <w:lvlJc w:val="left"/>
      <w:lvlText w:val="%1)"/>
      <w:numFmt w:val="lowerLetter"/>
      <w:start w:val="2"/>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840"/>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2020-01-02T15:27:09Z</dcterms:created>
  <dcterms:modified xsi:type="dcterms:W3CDTF">2020-01-02T15:27:09Z</dcterms:modified>
</cp:coreProperties>
</file>